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AAE3B" w14:textId="3239EC3F" w:rsidR="000B7AF6" w:rsidRDefault="000B7AF6" w:rsidP="000B7AF6">
      <w:pPr>
        <w:pStyle w:val="aa"/>
        <w:rPr>
          <w:rFonts w:eastAsia="宋体" w:cs="Arial"/>
          <w:bCs/>
          <w:sz w:val="24"/>
          <w:lang w:eastAsia="zh-CN"/>
        </w:rPr>
      </w:pPr>
      <w:bookmarkStart w:id="0" w:name="_Hlk58583563"/>
      <w:r>
        <w:rPr>
          <w:rFonts w:cs="Arial"/>
          <w:bCs/>
          <w:sz w:val="22"/>
        </w:rPr>
        <w:t xml:space="preserve">3GPP TSG RAN WG1 </w:t>
      </w:r>
      <w:r>
        <w:rPr>
          <w:rFonts w:eastAsia="宋体" w:cs="Arial"/>
          <w:bCs/>
          <w:sz w:val="22"/>
          <w:lang w:eastAsia="zh-CN"/>
        </w:rPr>
        <w:t>#1</w:t>
      </w:r>
      <w:r w:rsidR="00975851">
        <w:rPr>
          <w:rFonts w:eastAsia="宋体" w:cs="Arial"/>
          <w:bCs/>
          <w:sz w:val="22"/>
          <w:lang w:eastAsia="zh-CN"/>
        </w:rPr>
        <w:t>10</w:t>
      </w:r>
      <w:r>
        <w:rPr>
          <w:rFonts w:cs="Arial"/>
          <w:bCs/>
          <w:sz w:val="24"/>
        </w:rPr>
        <w:tab/>
      </w:r>
      <w:r>
        <w:rPr>
          <w:rFonts w:cs="Arial"/>
          <w:bCs/>
          <w:sz w:val="24"/>
        </w:rPr>
        <w:tab/>
      </w:r>
      <w:r w:rsidR="00F21059" w:rsidRPr="00F21059">
        <w:rPr>
          <w:rFonts w:cs="Arial"/>
          <w:bCs/>
          <w:sz w:val="24"/>
        </w:rPr>
        <w:t>R1-2206738</w:t>
      </w:r>
    </w:p>
    <w:p w14:paraId="2E1AD930" w14:textId="1D31DAEE" w:rsidR="000B7AF6" w:rsidRDefault="00975851" w:rsidP="000B7AF6">
      <w:pPr>
        <w:pStyle w:val="aa"/>
        <w:jc w:val="both"/>
        <w:rPr>
          <w:rFonts w:cs="Arial"/>
          <w:bCs/>
          <w:sz w:val="24"/>
        </w:rPr>
      </w:pPr>
      <w:r w:rsidRPr="00975851">
        <w:rPr>
          <w:rFonts w:cs="Arial"/>
          <w:sz w:val="24"/>
        </w:rPr>
        <w:t>Toulouse, France, August</w:t>
      </w:r>
      <w:r w:rsidR="0016563A">
        <w:rPr>
          <w:rFonts w:cs="Arial"/>
          <w:bCs/>
          <w:sz w:val="22"/>
        </w:rPr>
        <w:t xml:space="preserve"> </w:t>
      </w:r>
      <w:r>
        <w:rPr>
          <w:rFonts w:cs="Arial"/>
          <w:bCs/>
          <w:sz w:val="22"/>
        </w:rPr>
        <w:t>22</w:t>
      </w:r>
      <w:r>
        <w:rPr>
          <w:rFonts w:cs="Arial"/>
          <w:bCs/>
          <w:sz w:val="22"/>
          <w:vertAlign w:val="superscript"/>
        </w:rPr>
        <w:t>nd</w:t>
      </w:r>
      <w:r w:rsidR="00D66A08">
        <w:rPr>
          <w:rFonts w:cs="Arial"/>
          <w:bCs/>
          <w:sz w:val="22"/>
        </w:rPr>
        <w:t xml:space="preserve"> </w:t>
      </w:r>
      <w:r w:rsidR="00483288">
        <w:rPr>
          <w:rFonts w:cs="Arial"/>
          <w:bCs/>
          <w:sz w:val="22"/>
        </w:rPr>
        <w:t xml:space="preserve">– </w:t>
      </w:r>
      <w:r w:rsidR="0016563A">
        <w:rPr>
          <w:rFonts w:cs="Arial"/>
          <w:bCs/>
          <w:sz w:val="22"/>
        </w:rPr>
        <w:t>2</w:t>
      </w:r>
      <w:r>
        <w:rPr>
          <w:rFonts w:cs="Arial"/>
          <w:bCs/>
          <w:sz w:val="22"/>
        </w:rPr>
        <w:t>6</w:t>
      </w:r>
      <w:r w:rsidR="0016563A">
        <w:rPr>
          <w:rFonts w:cs="Arial"/>
          <w:bCs/>
          <w:sz w:val="22"/>
          <w:vertAlign w:val="superscript"/>
        </w:rPr>
        <w:t>th</w:t>
      </w:r>
      <w:r w:rsidR="000B7AF6">
        <w:rPr>
          <w:rFonts w:cs="Arial"/>
          <w:sz w:val="24"/>
        </w:rPr>
        <w:t>, 202</w:t>
      </w:r>
      <w:r w:rsidR="00E42C7F">
        <w:rPr>
          <w:rFonts w:cs="Arial"/>
          <w:sz w:val="24"/>
        </w:rPr>
        <w:t>2</w:t>
      </w:r>
    </w:p>
    <w:p w14:paraId="570AD26A" w14:textId="77777777" w:rsidR="000B7AF6" w:rsidRDefault="000B7AF6" w:rsidP="000B7AF6">
      <w:pPr>
        <w:pStyle w:val="aa"/>
        <w:tabs>
          <w:tab w:val="clear" w:pos="4536"/>
          <w:tab w:val="left" w:pos="1800"/>
        </w:tabs>
        <w:rPr>
          <w:rFonts w:eastAsia="宋体" w:cs="Arial"/>
          <w:sz w:val="24"/>
          <w:lang w:eastAsia="zh-CN"/>
        </w:rPr>
      </w:pPr>
    </w:p>
    <w:p w14:paraId="55370D64" w14:textId="77777777" w:rsidR="000B7AF6" w:rsidRDefault="000B7AF6" w:rsidP="000B7AF6">
      <w:pPr>
        <w:pStyle w:val="a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3C0989D9" w14:textId="382CAF0A" w:rsidR="000B7AF6" w:rsidRPr="0052657B" w:rsidRDefault="000B7AF6" w:rsidP="0052657B">
      <w:pPr>
        <w:pStyle w:val="aa"/>
        <w:tabs>
          <w:tab w:val="clear" w:pos="4536"/>
          <w:tab w:val="left" w:pos="1800"/>
        </w:tabs>
        <w:ind w:left="1961" w:hangingChars="814" w:hanging="1961"/>
        <w:jc w:val="both"/>
        <w:rPr>
          <w:rFonts w:cs="Arial"/>
          <w:sz w:val="24"/>
        </w:rPr>
      </w:pPr>
      <w:r>
        <w:rPr>
          <w:rFonts w:cs="Arial"/>
          <w:sz w:val="24"/>
        </w:rPr>
        <w:t>Title:</w:t>
      </w:r>
      <w:r>
        <w:rPr>
          <w:rFonts w:cs="Arial"/>
          <w:sz w:val="24"/>
        </w:rPr>
        <w:tab/>
      </w:r>
      <w:r w:rsidR="009F0033" w:rsidRPr="009F0033">
        <w:rPr>
          <w:rFonts w:eastAsia="宋体" w:cs="Arial"/>
          <w:sz w:val="24"/>
          <w:lang w:eastAsia="zh-CN"/>
        </w:rPr>
        <w:t>Remaining issues on Type-2 codebook for multi-PDSCH scheduling</w:t>
      </w:r>
    </w:p>
    <w:p w14:paraId="54FA1F79" w14:textId="41C1FC67" w:rsidR="000B7AF6" w:rsidRDefault="000B7AF6" w:rsidP="000B7AF6">
      <w:pPr>
        <w:pStyle w:val="aa"/>
        <w:tabs>
          <w:tab w:val="clear" w:pos="4536"/>
          <w:tab w:val="left" w:pos="1800"/>
          <w:tab w:val="left" w:pos="5948"/>
        </w:tabs>
        <w:rPr>
          <w:rFonts w:eastAsia="宋体" w:cs="Arial"/>
          <w:sz w:val="24"/>
          <w:lang w:eastAsia="zh-CN"/>
        </w:rPr>
      </w:pPr>
      <w:r>
        <w:rPr>
          <w:rFonts w:cs="Arial"/>
          <w:sz w:val="24"/>
        </w:rPr>
        <w:t>Agenda Item:</w:t>
      </w:r>
      <w:r>
        <w:rPr>
          <w:rFonts w:cs="Arial"/>
          <w:sz w:val="24"/>
        </w:rPr>
        <w:tab/>
      </w:r>
      <w:r>
        <w:rPr>
          <w:rFonts w:eastAsia="宋体" w:cs="Arial"/>
          <w:sz w:val="24"/>
          <w:lang w:eastAsia="zh-CN"/>
        </w:rPr>
        <w:t>8.2</w:t>
      </w:r>
    </w:p>
    <w:p w14:paraId="1A965667" w14:textId="77777777" w:rsidR="000B7AF6" w:rsidRDefault="000B7AF6" w:rsidP="000B7AF6">
      <w:pPr>
        <w:pStyle w:val="aa"/>
        <w:tabs>
          <w:tab w:val="left" w:pos="1800"/>
        </w:tabs>
        <w:rPr>
          <w:rFonts w:eastAsia="宋体" w:cs="Arial"/>
          <w:sz w:val="24"/>
          <w:lang w:eastAsia="zh-CN"/>
        </w:rPr>
      </w:pPr>
      <w:r>
        <w:rPr>
          <w:rFonts w:cs="Arial"/>
          <w:sz w:val="24"/>
        </w:rPr>
        <w:t>Document for:</w:t>
      </w:r>
      <w:r>
        <w:rPr>
          <w:rFonts w:cs="Arial"/>
          <w:sz w:val="24"/>
        </w:rPr>
        <w:tab/>
        <w:t>Discussion</w:t>
      </w:r>
      <w:r>
        <w:rPr>
          <w:rFonts w:eastAsia="宋体" w:cs="Arial"/>
          <w:sz w:val="24"/>
          <w:lang w:eastAsia="zh-CN"/>
        </w:rPr>
        <w:t xml:space="preserve"> and Decision</w:t>
      </w:r>
    </w:p>
    <w:p w14:paraId="147D610C" w14:textId="77777777" w:rsidR="000B7AF6" w:rsidRDefault="000B7AF6" w:rsidP="00851E34">
      <w:pPr>
        <w:pStyle w:val="10"/>
        <w:keepLines/>
        <w:numPr>
          <w:ilvl w:val="0"/>
          <w:numId w:val="10"/>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kern w:val="0"/>
          <w:sz w:val="36"/>
          <w:szCs w:val="20"/>
          <w:lang w:val="en-GB" w:eastAsia="en-GB"/>
        </w:rPr>
      </w:pPr>
      <w:r>
        <w:rPr>
          <w:rFonts w:cs="Times New Roman"/>
          <w:kern w:val="0"/>
          <w:sz w:val="36"/>
          <w:szCs w:val="20"/>
          <w:lang w:val="en-GB" w:eastAsia="en-GB"/>
        </w:rPr>
        <w:t>Introduction</w:t>
      </w:r>
    </w:p>
    <w:p w14:paraId="1A8FD1BB" w14:textId="780C830E" w:rsidR="00CB070D" w:rsidRPr="00C42432" w:rsidRDefault="00727D06" w:rsidP="00F563F7">
      <w:pPr>
        <w:spacing w:before="120" w:after="120"/>
        <w:rPr>
          <w:rFonts w:cs="Times New Roman"/>
        </w:rPr>
      </w:pPr>
      <w:bookmarkStart w:id="1" w:name="OLE_LINK2"/>
      <w:bookmarkStart w:id="2" w:name="OLE_LINK27"/>
      <w:bookmarkStart w:id="3" w:name="OLE_LINK28"/>
      <w:bookmarkEnd w:id="0"/>
      <w:r w:rsidRPr="00C42432">
        <w:rPr>
          <w:rFonts w:cs="Times New Roman"/>
        </w:rPr>
        <w:t xml:space="preserve">In this contribution, </w:t>
      </w:r>
      <w:r w:rsidR="00327774">
        <w:rPr>
          <w:rFonts w:cs="Times New Roman"/>
        </w:rPr>
        <w:t>some</w:t>
      </w:r>
      <w:r w:rsidR="00BF482E">
        <w:rPr>
          <w:rFonts w:cs="Times New Roman"/>
        </w:rPr>
        <w:t xml:space="preserve"> remaining issues </w:t>
      </w:r>
      <w:r w:rsidR="005C0552">
        <w:rPr>
          <w:rFonts w:cs="Times New Roman"/>
        </w:rPr>
        <w:t xml:space="preserve">on time domain bundling operation for Type-2 HARQ-ACK codebook </w:t>
      </w:r>
      <w:r w:rsidR="00BF482E">
        <w:rPr>
          <w:rFonts w:cs="Times New Roman"/>
        </w:rPr>
        <w:t>for</w:t>
      </w:r>
      <w:r w:rsidRPr="00C42432">
        <w:rPr>
          <w:rFonts w:cs="Times New Roman"/>
        </w:rPr>
        <w:t xml:space="preserve"> multi-PDSCH </w:t>
      </w:r>
      <w:r>
        <w:rPr>
          <w:rFonts w:cs="Times New Roman"/>
        </w:rPr>
        <w:t xml:space="preserve">scheduling </w:t>
      </w:r>
      <w:r w:rsidR="00327774">
        <w:rPr>
          <w:rFonts w:cs="Times New Roman"/>
        </w:rPr>
        <w:t>will be discussed</w:t>
      </w:r>
      <w:r w:rsidRPr="00C42432">
        <w:rPr>
          <w:rFonts w:cs="Times New Roman"/>
        </w:rPr>
        <w:t>.</w:t>
      </w:r>
    </w:p>
    <w:bookmarkEnd w:id="1"/>
    <w:bookmarkEnd w:id="2"/>
    <w:bookmarkEnd w:id="3"/>
    <w:p w14:paraId="1ABA25DA" w14:textId="7E841478" w:rsidR="00327A33" w:rsidRPr="00901DB0" w:rsidRDefault="003E4E62" w:rsidP="00327A33">
      <w:pPr>
        <w:pStyle w:val="10"/>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3E4E62">
        <w:rPr>
          <w:rFonts w:cs="Times New Roman"/>
          <w:b w:val="0"/>
          <w:bCs w:val="0"/>
          <w:kern w:val="0"/>
          <w:sz w:val="36"/>
          <w:szCs w:val="20"/>
          <w:lang w:val="en-GB" w:eastAsia="en-GB"/>
        </w:rPr>
        <w:t>Time domain bundling operation</w:t>
      </w:r>
      <w:r w:rsidR="00FB124B">
        <w:rPr>
          <w:rFonts w:cs="Times New Roman"/>
          <w:b w:val="0"/>
          <w:bCs w:val="0"/>
          <w:kern w:val="0"/>
          <w:sz w:val="36"/>
          <w:szCs w:val="20"/>
          <w:lang w:val="en-GB" w:eastAsia="en-GB"/>
        </w:rPr>
        <w:t xml:space="preserve"> for Type-2 codebook</w:t>
      </w:r>
    </w:p>
    <w:p w14:paraId="7EA77063" w14:textId="1ACC375C" w:rsidR="00FB124B" w:rsidRPr="00D80568" w:rsidRDefault="00FB124B" w:rsidP="00D80568">
      <w:pPr>
        <w:pStyle w:val="2"/>
        <w:numPr>
          <w:ilvl w:val="1"/>
          <w:numId w:val="2"/>
        </w:numPr>
        <w:spacing w:before="180"/>
        <w:rPr>
          <w:rFonts w:eastAsia="宋体"/>
          <w:sz w:val="30"/>
          <w:szCs w:val="30"/>
        </w:rPr>
      </w:pPr>
      <w:r>
        <w:rPr>
          <w:rFonts w:eastAsia="宋体"/>
          <w:b w:val="0"/>
          <w:sz w:val="30"/>
          <w:szCs w:val="30"/>
        </w:rPr>
        <w:t>D</w:t>
      </w:r>
      <w:r w:rsidRPr="00FB124B">
        <w:rPr>
          <w:rFonts w:eastAsia="宋体"/>
          <w:b w:val="0"/>
          <w:sz w:val="30"/>
          <w:szCs w:val="30"/>
        </w:rPr>
        <w:t>ivision of TBGs</w:t>
      </w:r>
    </w:p>
    <w:p w14:paraId="6A5811FE" w14:textId="4A537474" w:rsidR="00D64E92" w:rsidRDefault="003F6D34" w:rsidP="00C05C1F">
      <w:pPr>
        <w:widowControl/>
        <w:spacing w:after="120"/>
        <w:rPr>
          <w:rFonts w:cs="Times New Roman"/>
          <w:kern w:val="0"/>
          <w:szCs w:val="20"/>
        </w:rPr>
      </w:pPr>
      <w:r>
        <w:rPr>
          <w:rFonts w:cs="Times New Roman"/>
          <w:kern w:val="0"/>
          <w:szCs w:val="20"/>
        </w:rPr>
        <w:t xml:space="preserve">In </w:t>
      </w:r>
      <w:r w:rsidR="00E154DE">
        <w:rPr>
          <w:rFonts w:cs="Times New Roman"/>
          <w:kern w:val="0"/>
          <w:szCs w:val="20"/>
        </w:rPr>
        <w:fldChar w:fldCharType="begin"/>
      </w:r>
      <w:r w:rsidR="00E154DE">
        <w:rPr>
          <w:rFonts w:cs="Times New Roman"/>
          <w:kern w:val="0"/>
          <w:szCs w:val="20"/>
        </w:rPr>
        <w:instrText xml:space="preserve"> REF _Ref92384732 \n \h </w:instrText>
      </w:r>
      <w:r w:rsidR="00E154DE">
        <w:rPr>
          <w:rFonts w:cs="Times New Roman"/>
          <w:kern w:val="0"/>
          <w:szCs w:val="20"/>
        </w:rPr>
      </w:r>
      <w:r w:rsidR="00E154DE">
        <w:rPr>
          <w:rFonts w:cs="Times New Roman"/>
          <w:kern w:val="0"/>
          <w:szCs w:val="20"/>
        </w:rPr>
        <w:fldChar w:fldCharType="separate"/>
      </w:r>
      <w:r w:rsidR="00E154DE">
        <w:rPr>
          <w:rFonts w:cs="Times New Roman"/>
          <w:kern w:val="0"/>
          <w:szCs w:val="20"/>
        </w:rPr>
        <w:t>[1]</w:t>
      </w:r>
      <w:r w:rsidR="00E154DE">
        <w:rPr>
          <w:rFonts w:cs="Times New Roman"/>
          <w:kern w:val="0"/>
          <w:szCs w:val="20"/>
        </w:rPr>
        <w:fldChar w:fldCharType="end"/>
      </w:r>
      <w:r w:rsidR="00E6742B">
        <w:rPr>
          <w:rFonts w:cs="Times New Roman"/>
          <w:kern w:val="0"/>
          <w:szCs w:val="20"/>
        </w:rPr>
        <w:t>,</w:t>
      </w:r>
      <w:r w:rsidR="00D64E92">
        <w:rPr>
          <w:rFonts w:cs="Times New Roman"/>
          <w:kern w:val="0"/>
          <w:szCs w:val="20"/>
        </w:rPr>
        <w:t xml:space="preserve"> a new concept of transport block group (TBG) is introduced to deal with time domain bundling for Type-2 </w:t>
      </w:r>
      <w:r w:rsidR="00373D83">
        <w:rPr>
          <w:rFonts w:cs="Times New Roman"/>
          <w:kern w:val="0"/>
          <w:szCs w:val="20"/>
        </w:rPr>
        <w:t xml:space="preserve">HARQ-ACK </w:t>
      </w:r>
      <w:r w:rsidR="00D64E92">
        <w:rPr>
          <w:rFonts w:cs="Times New Roman"/>
          <w:kern w:val="0"/>
          <w:szCs w:val="20"/>
        </w:rPr>
        <w:t xml:space="preserve">codebook, and some descriptions about TBG are </w:t>
      </w:r>
      <w:r w:rsidR="0020774A">
        <w:rPr>
          <w:rFonts w:cs="Times New Roman"/>
          <w:kern w:val="0"/>
          <w:szCs w:val="20"/>
        </w:rPr>
        <w:t>refer</w:t>
      </w:r>
      <w:r w:rsidR="00B72D3F">
        <w:rPr>
          <w:rFonts w:cs="Times New Roman"/>
          <w:kern w:val="0"/>
          <w:szCs w:val="20"/>
        </w:rPr>
        <w:t>r</w:t>
      </w:r>
      <w:r w:rsidR="0020774A">
        <w:rPr>
          <w:rFonts w:cs="Times New Roman"/>
          <w:kern w:val="0"/>
          <w:szCs w:val="20"/>
        </w:rPr>
        <w:t xml:space="preserve">ed </w:t>
      </w:r>
      <w:r w:rsidR="00D64E92">
        <w:rPr>
          <w:rFonts w:cs="Times New Roman"/>
          <w:kern w:val="0"/>
          <w:szCs w:val="20"/>
        </w:rPr>
        <w:t>as below.</w:t>
      </w:r>
    </w:p>
    <w:p w14:paraId="1BB8FC6C" w14:textId="375C33A2" w:rsidR="00D64E92" w:rsidRDefault="00D64E92" w:rsidP="00C05C1F">
      <w:pPr>
        <w:widowControl/>
        <w:spacing w:after="120"/>
        <w:rPr>
          <w:rFonts w:cs="Times New Roman"/>
          <w:kern w:val="0"/>
          <w:szCs w:val="20"/>
        </w:rPr>
      </w:pPr>
      <w:r>
        <w:rPr>
          <w:rFonts w:eastAsia="宋体"/>
          <w:noProof/>
        </w:rPr>
        <w:lastRenderedPageBreak/>
        <mc:AlternateContent>
          <mc:Choice Requires="wps">
            <w:drawing>
              <wp:inline distT="0" distB="0" distL="0" distR="0" wp14:anchorId="6735A883" wp14:editId="751634BB">
                <wp:extent cx="5755005" cy="8340919"/>
                <wp:effectExtent l="0" t="0" r="17145" b="22225"/>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8340919"/>
                        </a:xfrm>
                        <a:prstGeom prst="rect">
                          <a:avLst/>
                        </a:prstGeom>
                        <a:solidFill>
                          <a:srgbClr val="FFFFFF"/>
                        </a:solidFill>
                        <a:ln w="9525">
                          <a:solidFill>
                            <a:srgbClr val="000000"/>
                          </a:solidFill>
                          <a:miter lim="800000"/>
                          <a:headEnd/>
                          <a:tailEnd/>
                        </a:ln>
                      </wps:spPr>
                      <wps:txbx>
                        <w:txbxContent>
                          <w:p w14:paraId="57B0199B" w14:textId="7342DC18" w:rsidR="000A7715" w:rsidRPr="00D05745" w:rsidRDefault="000A7715" w:rsidP="00D64E92">
                            <w:pPr>
                              <w:widowControl/>
                              <w:jc w:val="left"/>
                              <w:rPr>
                                <w:rFonts w:ascii="Arial" w:eastAsia="Batang" w:hAnsi="Arial" w:cs="Arial"/>
                                <w:iCs/>
                                <w:kern w:val="0"/>
                                <w:sz w:val="24"/>
                                <w:szCs w:val="24"/>
                                <w:lang w:val="en-GB" w:eastAsia="x-none"/>
                              </w:rPr>
                            </w:pPr>
                            <w:bookmarkStart w:id="4" w:name="_Ref500250940"/>
                            <w:bookmarkStart w:id="5" w:name="_Toc12021473"/>
                            <w:bookmarkStart w:id="6" w:name="_Toc20311585"/>
                            <w:bookmarkStart w:id="7" w:name="_Toc26719410"/>
                            <w:bookmarkStart w:id="8" w:name="_Toc29894843"/>
                            <w:bookmarkStart w:id="9" w:name="_Toc29899142"/>
                            <w:bookmarkStart w:id="10" w:name="_Toc29899560"/>
                            <w:bookmarkStart w:id="11" w:name="_Toc29917297"/>
                            <w:bookmarkStart w:id="12" w:name="_Toc36498171"/>
                            <w:bookmarkStart w:id="13" w:name="_Toc45699197"/>
                            <w:bookmarkStart w:id="14" w:name="_Toc99993815"/>
                            <w:r w:rsidRPr="00D05745">
                              <w:rPr>
                                <w:rFonts w:ascii="Arial" w:hAnsi="Arial" w:cs="Arial"/>
                                <w:sz w:val="24"/>
                                <w:szCs w:val="24"/>
                              </w:rPr>
                              <w:t>9.1.3.1</w:t>
                            </w:r>
                            <w:r w:rsidRPr="00D05745">
                              <w:rPr>
                                <w:rFonts w:ascii="Arial" w:hAnsi="Arial" w:cs="Arial"/>
                                <w:sz w:val="24"/>
                                <w:szCs w:val="24"/>
                              </w:rPr>
                              <w:tab/>
                              <w:t xml:space="preserve">Type-2 HARQ-ACK codebook in </w:t>
                            </w:r>
                            <w:bookmarkEnd w:id="4"/>
                            <w:r w:rsidRPr="00D05745">
                              <w:rPr>
                                <w:rFonts w:ascii="Arial" w:hAnsi="Arial" w:cs="Arial"/>
                                <w:sz w:val="24"/>
                                <w:szCs w:val="24"/>
                              </w:rPr>
                              <w:t>physical uplink control channel</w:t>
                            </w:r>
                            <w:bookmarkEnd w:id="5"/>
                            <w:bookmarkEnd w:id="6"/>
                            <w:bookmarkEnd w:id="7"/>
                            <w:bookmarkEnd w:id="8"/>
                            <w:bookmarkEnd w:id="9"/>
                            <w:bookmarkEnd w:id="10"/>
                            <w:bookmarkEnd w:id="11"/>
                            <w:bookmarkEnd w:id="12"/>
                            <w:bookmarkEnd w:id="13"/>
                            <w:bookmarkEnd w:id="14"/>
                          </w:p>
                          <w:p w14:paraId="2452CED1" w14:textId="4D9B93CA" w:rsidR="000A7715" w:rsidRPr="00D05745" w:rsidRDefault="000A7715" w:rsidP="00D05745">
                            <w:pPr>
                              <w:widowControl/>
                              <w:jc w:val="left"/>
                              <w:rPr>
                                <w:rFonts w:ascii="Times" w:hAnsi="Times" w:cs="Times New Roman"/>
                                <w:iCs/>
                                <w:kern w:val="0"/>
                                <w:szCs w:val="24"/>
                                <w:lang w:val="en-GB"/>
                              </w:rPr>
                            </w:pPr>
                            <w:r>
                              <w:rPr>
                                <w:rFonts w:ascii="Times" w:hAnsi="Times" w:cs="Times New Roman"/>
                                <w:iCs/>
                                <w:kern w:val="0"/>
                                <w:szCs w:val="24"/>
                                <w:lang w:val="en-GB"/>
                              </w:rPr>
                              <w:t>…</w:t>
                            </w:r>
                          </w:p>
                          <w:p w14:paraId="524D3BA0" w14:textId="1FFF054F" w:rsidR="000A7715" w:rsidRDefault="000A7715" w:rsidP="00D64E92">
                            <w:pPr>
                              <w:widowControl/>
                              <w:jc w:val="left"/>
                              <w:rPr>
                                <w:rFonts w:ascii="Times" w:eastAsia="Batang" w:hAnsi="Times" w:cs="Times New Roman"/>
                                <w:iCs/>
                                <w:kern w:val="0"/>
                                <w:szCs w:val="24"/>
                                <w:lang w:val="en-GB" w:eastAsia="x-none"/>
                              </w:rPr>
                            </w:pPr>
                            <w:r>
                              <w:rPr>
                                <w:noProof/>
                              </w:rPr>
                              <w:drawing>
                                <wp:inline distT="0" distB="0" distL="0" distR="0" wp14:anchorId="157B5C01" wp14:editId="48C21A7F">
                                  <wp:extent cx="5563235" cy="68834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63235" cy="688340"/>
                                          </a:xfrm>
                                          <a:prstGeom prst="rect">
                                            <a:avLst/>
                                          </a:prstGeom>
                                        </pic:spPr>
                                      </pic:pic>
                                    </a:graphicData>
                                  </a:graphic>
                                </wp:inline>
                              </w:drawing>
                            </w:r>
                          </w:p>
                          <w:p w14:paraId="16B233EE" w14:textId="58B6983D" w:rsidR="000A7715" w:rsidRPr="00D05745" w:rsidRDefault="000A7715" w:rsidP="00D64E92">
                            <w:pPr>
                              <w:widowControl/>
                              <w:jc w:val="left"/>
                              <w:rPr>
                                <w:rFonts w:ascii="Times" w:hAnsi="Times" w:cs="Times New Roman"/>
                                <w:iCs/>
                                <w:kern w:val="0"/>
                                <w:szCs w:val="24"/>
                                <w:lang w:val="en-GB"/>
                              </w:rPr>
                            </w:pPr>
                            <w:r>
                              <w:rPr>
                                <w:rFonts w:ascii="Times" w:hAnsi="Times" w:cs="Times New Roman"/>
                                <w:iCs/>
                                <w:kern w:val="0"/>
                                <w:szCs w:val="24"/>
                                <w:lang w:val="en-GB"/>
                              </w:rPr>
                              <w:t>…</w:t>
                            </w:r>
                          </w:p>
                          <w:p w14:paraId="7A4CD454" w14:textId="77777777" w:rsidR="000A7715" w:rsidRDefault="000A7715" w:rsidP="00D64E92">
                            <w:pPr>
                              <w:pStyle w:val="B10"/>
                              <w:rPr>
                                <w:rFonts w:cs="Arial"/>
                                <w:lang w:eastAsia="zh-CN"/>
                              </w:rPr>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w:t>
                            </w:r>
                          </w:p>
                          <w:p w14:paraId="707A8343" w14:textId="77777777" w:rsidR="000A7715" w:rsidRDefault="000A7715" w:rsidP="00D64E92">
                            <w:pPr>
                              <w:pStyle w:val="B2"/>
                              <w:rPr>
                                <w:lang w:eastAsia="zh-CN"/>
                              </w:rPr>
                            </w:pPr>
                            <w:r w:rsidRPr="00B06CC2">
                              <w:t>-</w:t>
                            </w:r>
                            <w:r w:rsidRPr="00B06CC2">
                              <w:tab/>
                            </w:r>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E9040D">
                              <w:rPr>
                                <w:rFonts w:hint="eastAsia"/>
                                <w:lang w:eastAsia="zh-CN"/>
                              </w:rPr>
                              <w:t xml:space="preserve"> the number of </w:t>
                            </w:r>
                            <w:r w:rsidRPr="00E9040D">
                              <w:t xml:space="preserve">transport blocks </w:t>
                            </w:r>
                            <w:r>
                              <w:t>the UE receives</w:t>
                            </w:r>
                            <w:r w:rsidRPr="00E9040D">
                              <w:t xml:space="preserve"> </w:t>
                            </w:r>
                            <w:r>
                              <w:t>in a PDSCH</w:t>
                            </w:r>
                            <w:r>
                              <w:rPr>
                                <w:lang w:val="en-US"/>
                              </w:rPr>
                              <w:t xml:space="preserve">, or the number of </w:t>
                            </w:r>
                            <w:r w:rsidRPr="00D05745">
                              <w:rPr>
                                <w:highlight w:val="yellow"/>
                                <w:lang w:val="en-US"/>
                              </w:rPr>
                              <w:t>transport block groups</w:t>
                            </w:r>
                            <w:r>
                              <w:rPr>
                                <w:lang w:val="en-US"/>
                              </w:rPr>
                              <w:t xml:space="preserve"> in PDSCHs if </w:t>
                            </w:r>
                            <w:proofErr w:type="spellStart"/>
                            <w:r w:rsidRPr="00B27E56">
                              <w:rPr>
                                <w:i/>
                                <w:iCs/>
                              </w:rPr>
                              <w:t>numberOfHARQ-BundlingGroups</w:t>
                            </w:r>
                            <w:proofErr w:type="spellEnd"/>
                            <w:r>
                              <w:rPr>
                                <w:lang w:val="en-US"/>
                              </w:rPr>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is provided,</w:t>
                            </w:r>
                            <w:r>
                              <w:t xml:space="preserve">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60CB8226" w14:textId="6ABCF0C7" w:rsidR="000A7715" w:rsidRDefault="000A7715" w:rsidP="00D64E92">
                            <w:pPr>
                              <w:widowControl/>
                              <w:jc w:val="left"/>
                              <w:rPr>
                                <w:rFonts w:ascii="Times" w:hAnsi="Times" w:cs="Times New Roman"/>
                                <w:iCs/>
                                <w:kern w:val="0"/>
                                <w:szCs w:val="24"/>
                                <w:lang w:val="en-GB"/>
                              </w:rPr>
                            </w:pPr>
                            <w:r>
                              <w:rPr>
                                <w:rFonts w:ascii="Times" w:hAnsi="Times" w:cs="Times New Roman"/>
                                <w:iCs/>
                                <w:kern w:val="0"/>
                                <w:szCs w:val="24"/>
                                <w:lang w:val="en-GB"/>
                              </w:rPr>
                              <w:t>…</w:t>
                            </w:r>
                          </w:p>
                          <w:p w14:paraId="2C29C470" w14:textId="77777777" w:rsidR="000A7715" w:rsidRPr="00B7372F" w:rsidRDefault="000A7715" w:rsidP="008F06B0">
                            <w:r w:rsidRPr="00B27E56">
                              <w:t xml:space="preserve">If a UE is provided </w:t>
                            </w:r>
                            <w:proofErr w:type="spellStart"/>
                            <w:r w:rsidRPr="00B27E56">
                              <w:rPr>
                                <w:i/>
                                <w:iCs/>
                              </w:rPr>
                              <w:t>numberOfHARQ-BundlingGroups</w:t>
                            </w:r>
                            <w:proofErr w:type="spellEnd"/>
                            <w:r w:rsidRPr="00B27E56">
                              <w:t xml:space="preserve"> </w:t>
                            </w:r>
                            <w:r>
                              <w:t xml:space="preserve">and is not provided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rPr>
                              <w:t xml:space="preserve"> </w:t>
                            </w:r>
                            <w:r w:rsidRPr="00B27E56">
                              <w:t>for a serving cell</w:t>
                            </w:r>
                            <w:r>
                              <w:t xml:space="preserve"> </w:t>
                            </w:r>
                            <m:oMath>
                              <m:r>
                                <w:rPr>
                                  <w:rFonts w:ascii="Cambria Math" w:hAnsi="Cambria Math"/>
                                </w:rPr>
                                <m:t>c</m:t>
                              </m:r>
                            </m:oMath>
                            <w:r w:rsidRPr="00B27E56">
                              <w:t xml:space="preserve">, the UE generates HARQ-ACK information over </w:t>
                            </w:r>
                            <w:r w:rsidRPr="00D05745">
                              <w:rPr>
                                <w:highlight w:val="yellow"/>
                              </w:rPr>
                              <w:t>transport block groups</w:t>
                            </w:r>
                            <w:r w:rsidRPr="00B27E56">
                              <w:t xml:space="preserve"> (</w:t>
                            </w:r>
                            <w:r w:rsidRPr="00D05745">
                              <w:rPr>
                                <w:highlight w:val="yellow"/>
                              </w:rPr>
                              <w:t>TBGs</w:t>
                            </w:r>
                            <w:r w:rsidRPr="00B27E56">
                              <w:t xml:space="preserve">)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PDSCH receptions scheduled by a DCI format on the serving cell, a maximum number of </w:t>
                            </w:r>
                            <w:r w:rsidRPr="00D05745">
                              <w:rPr>
                                <w:highlight w:val="yellow"/>
                              </w:rPr>
                              <w:t>TBGs</w:t>
                            </w:r>
                            <w:r w:rsidRPr="00B27E56">
                              <w:t xml:space="preserv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is provided</w:t>
                            </w:r>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first TBs and, </w:t>
                            </w:r>
                            <w:r w:rsidRPr="00C9017B">
                              <w:rPr>
                                <w:highlight w:val="red"/>
                              </w:rPr>
                              <w:t>if applicable</w:t>
                            </w:r>
                            <w:r w:rsidRPr="00B27E56">
                              <w:t xml:space="preserv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w:t>
                            </w:r>
                            <w:r>
                              <w:t xml:space="preserve"> </w:t>
                            </w:r>
                            <w:r w:rsidRPr="00B7372F">
                              <w:t xml:space="preserve">For a </w:t>
                            </w:r>
                            <w:r w:rsidRPr="00D05745">
                              <w:rPr>
                                <w:highlight w:val="yellow"/>
                              </w:rPr>
                              <w:t>TBG</w:t>
                            </w:r>
                            <w:r w:rsidRPr="00B7372F">
                              <w:t xml:space="preserve"> </w:t>
                            </w:r>
                            <w:r>
                              <w:t xml:space="preserve">associated </w:t>
                            </w:r>
                            <w:r w:rsidRPr="00B7372F">
                              <w:t xml:space="preserve">with at least </w:t>
                            </w:r>
                            <w:r>
                              <w:t xml:space="preserve">one </w:t>
                            </w:r>
                            <w:r w:rsidRPr="00B7372F">
                              <w:t xml:space="preserve">PDSCH </w:t>
                            </w:r>
                            <w:r>
                              <w:t xml:space="preserve">that does </w:t>
                            </w:r>
                            <w:r w:rsidRPr="00B7372F">
                              <w:t xml:space="preserve">not overlap 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 xml:space="preserve">if provided, the UE 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are correctly received</w:t>
                            </w:r>
                            <w:r w:rsidRPr="00B7372F">
                              <w:t xml:space="preserve">. For a </w:t>
                            </w:r>
                            <w:r w:rsidRPr="00D05745">
                              <w:rPr>
                                <w:highlight w:val="yellow"/>
                              </w:rPr>
                              <w:t>TBG</w:t>
                            </w:r>
                            <w:r w:rsidRPr="00B7372F">
                              <w:t xml:space="preserve">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w:t>
                            </w:r>
                            <w:r w:rsidRPr="00D05745">
                              <w:rPr>
                                <w:highlight w:val="yellow"/>
                              </w:rPr>
                              <w:t>TBG</w:t>
                            </w:r>
                            <w:r w:rsidRPr="00B7372F">
                              <w:t>.</w:t>
                            </w:r>
                          </w:p>
                          <w:p w14:paraId="2C363A18" w14:textId="6DE32E69" w:rsidR="001D4FBB" w:rsidRDefault="001D4FBB" w:rsidP="00D64E92">
                            <w:pPr>
                              <w:widowControl/>
                              <w:autoSpaceDE w:val="0"/>
                              <w:autoSpaceDN w:val="0"/>
                            </w:pPr>
                            <w:r>
                              <w:t>…</w:t>
                            </w:r>
                          </w:p>
                          <w:p w14:paraId="3F785C51" w14:textId="237E997A" w:rsidR="000A7715" w:rsidRDefault="000A7715" w:rsidP="00D64E92">
                            <w:pPr>
                              <w:widowControl/>
                              <w:autoSpaceDE w:val="0"/>
                              <w:autoSpaceDN w:val="0"/>
                            </w:pPr>
                            <w:r>
                              <w:rPr>
                                <w:noProof/>
                              </w:rPr>
                              <w:drawing>
                                <wp:inline distT="0" distB="0" distL="0" distR="0" wp14:anchorId="4AD2B1B1" wp14:editId="5D35384D">
                                  <wp:extent cx="5563235" cy="3822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63235" cy="382270"/>
                                          </a:xfrm>
                                          <a:prstGeom prst="rect">
                                            <a:avLst/>
                                          </a:prstGeom>
                                        </pic:spPr>
                                      </pic:pic>
                                    </a:graphicData>
                                  </a:graphic>
                                </wp:inline>
                              </w:drawing>
                            </w:r>
                          </w:p>
                          <w:p w14:paraId="6305BAFC" w14:textId="46CC7BFA" w:rsidR="000A7715" w:rsidRDefault="000A7715" w:rsidP="00D64E92">
                            <w:pPr>
                              <w:widowControl/>
                              <w:autoSpaceDE w:val="0"/>
                              <w:autoSpaceDN w:val="0"/>
                            </w:pPr>
                            <w:r>
                              <w:t>…</w:t>
                            </w:r>
                          </w:p>
                          <w:p w14:paraId="2F6DF15B" w14:textId="77777777" w:rsidR="000A7715" w:rsidRDefault="000A7715" w:rsidP="004E3E59">
                            <w:pPr>
                              <w:pStyle w:val="B10"/>
                              <w:rPr>
                                <w:lang w:eastAsia="zh-CN"/>
                              </w:rPr>
                            </w:pPr>
                            <w:r w:rsidRPr="001E3726">
                              <w:t>-</w:t>
                            </w:r>
                            <w:r w:rsidRPr="001E3726">
                              <w:tab/>
                              <w:t xml:space="preserve">if </w:t>
                            </w:r>
                            <w:proofErr w:type="spellStart"/>
                            <w:r w:rsidRPr="001E3726">
                              <w:t>harq</w:t>
                            </w:r>
                            <w:proofErr w:type="spellEnd"/>
                            <w:r w:rsidRPr="001E3726">
                              <w:t>-ACK-</w:t>
                            </w:r>
                            <w:proofErr w:type="spellStart"/>
                            <w:r w:rsidRPr="001E3726">
                              <w:t>SpatialBundlingPUCCH</w:t>
                            </w:r>
                            <w:proofErr w:type="spellEnd"/>
                            <w:r w:rsidRPr="001E3726">
                              <w:rPr>
                                <w:rFonts w:hint="eastAsia"/>
                                <w:lang w:eastAsia="zh-CN"/>
                              </w:rPr>
                              <w:t xml:space="preserve"> </w:t>
                            </w:r>
                            <w:r w:rsidRPr="001E3726">
                              <w:rPr>
                                <w:lang w:eastAsia="zh-CN"/>
                              </w:rPr>
                              <w:t>is not provided,</w:t>
                            </w:r>
                          </w:p>
                          <w:p w14:paraId="27D0EBC7" w14:textId="77777777" w:rsidR="000A7715" w:rsidRDefault="000A7715" w:rsidP="004E3E59">
                            <w:pPr>
                              <w:pStyle w:val="B2"/>
                              <w:ind w:left="852"/>
                            </w:pPr>
                            <w:r w:rsidRPr="001E3726">
                              <w:t>-</w:t>
                            </w:r>
                            <w:r w:rsidRPr="001E3726">
                              <w:tab/>
                              <w:t>if</w:t>
                            </w:r>
                            <w:r>
                              <w:rPr>
                                <w:lang w:val="en-US"/>
                              </w:rPr>
                              <w:t xml:space="preserve"> </w:t>
                            </w:r>
                            <w:proofErr w:type="spellStart"/>
                            <w:r w:rsidRPr="00B27E56">
                              <w:rPr>
                                <w:i/>
                                <w:iCs/>
                              </w:rPr>
                              <w:t>numberOfHARQ-BundlingGroups</w:t>
                            </w:r>
                            <w:proofErr w:type="spellEnd"/>
                            <w:r>
                              <w:rPr>
                                <w:lang w:val="en-US"/>
                              </w:rPr>
                              <w:t xml:space="preserve"> is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w:t>
                            </w:r>
                            <w:r w:rsidRPr="00D05745">
                              <w:rPr>
                                <w:highlight w:val="yellow"/>
                              </w:rPr>
                              <w:t>TBGs</w:t>
                            </w:r>
                            <w:r w:rsidRPr="001E3726">
                              <w:t xml:space="preserve"> including at least one PDSCH not overlapping with a</w:t>
                            </w:r>
                            <w:r>
                              <w:rPr>
                                <w:lang w:val="en-US"/>
                              </w:rPr>
                              <w:t>n</w:t>
                            </w:r>
                            <w:r w:rsidRPr="001E3726">
                              <w:t xml:space="preserve"> UL symbol indicated by </w:t>
                            </w:r>
                            <w:proofErr w:type="spellStart"/>
                            <w:r w:rsidRPr="001E3726">
                              <w:rPr>
                                <w:i/>
                                <w:iCs/>
                              </w:rPr>
                              <w:t>tdd</w:t>
                            </w:r>
                            <w:proofErr w:type="spellEnd"/>
                            <w:r w:rsidRPr="001E3726">
                              <w:rPr>
                                <w:i/>
                                <w:iCs/>
                              </w:rPr>
                              <w:t>-UL-DL-</w:t>
                            </w:r>
                            <w:proofErr w:type="spellStart"/>
                            <w:r w:rsidRPr="001E3726">
                              <w:rPr>
                                <w:i/>
                                <w:iCs/>
                              </w:rPr>
                              <w:t>ConfigurationCommon</w:t>
                            </w:r>
                            <w:proofErr w:type="spellEnd"/>
                            <w:r>
                              <w:rPr>
                                <w:lang w:val="en-US"/>
                              </w:rPr>
                              <w:t xml:space="preserve">, </w:t>
                            </w:r>
                            <w:r w:rsidRPr="001E3726">
                              <w:t>or</w:t>
                            </w:r>
                            <w:r>
                              <w:rPr>
                                <w:lang w:val="en-US"/>
                              </w:rPr>
                              <w:t xml:space="preserve"> by</w:t>
                            </w:r>
                            <w:r w:rsidRPr="001E3726">
                              <w:t xml:space="preserve"> </w:t>
                            </w:r>
                            <w:proofErr w:type="spellStart"/>
                            <w:r w:rsidRPr="001E3726">
                              <w:rPr>
                                <w:i/>
                                <w:iCs/>
                              </w:rPr>
                              <w:t>tdd</w:t>
                            </w:r>
                            <w:proofErr w:type="spellEnd"/>
                            <w:r w:rsidRPr="001E3726">
                              <w:rPr>
                                <w:i/>
                                <w:iCs/>
                              </w:rPr>
                              <w:t>-UL-DL-</w:t>
                            </w:r>
                            <w:proofErr w:type="spellStart"/>
                            <w:r w:rsidRPr="001E3726">
                              <w:rPr>
                                <w:i/>
                                <w:iCs/>
                              </w:rPr>
                              <w:t>ConfigurationDedicated</w:t>
                            </w:r>
                            <w:proofErr w:type="spellEnd"/>
                            <w:r w:rsidRPr="001E3726">
                              <w:rPr>
                                <w:i/>
                                <w:iCs/>
                              </w:rPr>
                              <w:t xml:space="preserve"> </w:t>
                            </w:r>
                            <w:r w:rsidRPr="001E3726">
                              <w:t>if provided</w:t>
                            </w:r>
                            <w:r>
                              <w:rPr>
                                <w:lang w:val="en-US"/>
                              </w:rPr>
                              <w:t>,</w:t>
                            </w:r>
                            <w:r w:rsidRPr="001E3726">
                              <w:t xml:space="preserve"> </w:t>
                            </w:r>
                            <w:r>
                              <w:rPr>
                                <w:lang w:val="en-US"/>
                              </w:rPr>
                              <w:t xml:space="preserve">that </w:t>
                            </w:r>
                            <w:r w:rsidRPr="001E3726">
                              <w:t xml:space="preserve">the UE receives in serving cell </w:t>
                            </w:r>
                            <m:oMath>
                              <m:r>
                                <w:rPr>
                                  <w:rFonts w:ascii="Cambria Math" w:hAnsi="Cambria Math"/>
                                </w:rPr>
                                <m:t>c</m:t>
                              </m:r>
                            </m:oMath>
                            <w:r w:rsidRPr="001E3726">
                              <w:rPr>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lang w:eastAsia="ko-KR"/>
                              </w:rPr>
                              <w:t xml:space="preserve"> in PDCCH monitoring occasion </w:t>
                            </w:r>
                            <m:oMath>
                              <m:r>
                                <w:rPr>
                                  <w:rFonts w:ascii="Cambria Math" w:hAnsi="Cambria Math"/>
                                </w:rPr>
                                <m:t>m</m:t>
                              </m:r>
                            </m:oMath>
                            <w:r w:rsidRPr="001E3726">
                              <w:t xml:space="preserve"> and the UE reports corresponding HARQ-ACK information in the PUCCH</w:t>
                            </w:r>
                          </w:p>
                          <w:p w14:paraId="2DBCF938" w14:textId="6A74992A" w:rsidR="000A7715" w:rsidRPr="003626F5" w:rsidRDefault="000A7715" w:rsidP="00B177BF">
                            <w:pPr>
                              <w:widowControl/>
                              <w:autoSpaceDE w:val="0"/>
                              <w:autoSpaceDN w:val="0"/>
                            </w:pPr>
                            <w:r>
                              <w:t>…</w:t>
                            </w:r>
                          </w:p>
                        </w:txbxContent>
                      </wps:txbx>
                      <wps:bodyPr rot="0" vert="horz" wrap="square" lIns="91440" tIns="45720" rIns="91440" bIns="45720" anchor="t" anchorCtr="0" upright="1">
                        <a:noAutofit/>
                      </wps:bodyPr>
                    </wps:wsp>
                  </a:graphicData>
                </a:graphic>
              </wp:inline>
            </w:drawing>
          </mc:Choice>
          <mc:Fallback>
            <w:pict>
              <v:shapetype w14:anchorId="6735A883" id="_x0000_t202" coordsize="21600,21600" o:spt="202" path="m,l,21600r21600,l21600,xe">
                <v:stroke joinstyle="miter"/>
                <v:path gradientshapeok="t" o:connecttype="rect"/>
              </v:shapetype>
              <v:shape id="文本框 9" o:spid="_x0000_s1026" type="#_x0000_t202" style="width:453.15pt;height:65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">
                <v:textbox>
                  <w:txbxContent>
                    <w:p w14:paraId="57B0199B" w14:textId="7342DC18" w:rsidR="000A7715" w:rsidRPr="00D05745" w:rsidRDefault="000A7715" w:rsidP="00D64E92">
                      <w:pPr>
                        <w:widowControl/>
                        <w:jc w:val="left"/>
                        <w:rPr>
                          <w:rFonts w:ascii="Arial" w:eastAsia="Batang" w:hAnsi="Arial" w:cs="Arial"/>
                          <w:iCs/>
                          <w:kern w:val="0"/>
                          <w:sz w:val="24"/>
                          <w:szCs w:val="24"/>
                          <w:lang w:val="en-GB" w:eastAsia="x-none"/>
                        </w:rPr>
                      </w:pPr>
                      <w:bookmarkStart w:id="22" w:name="_Ref500250940"/>
                      <w:bookmarkStart w:id="23" w:name="_Toc12021473"/>
                      <w:bookmarkStart w:id="24" w:name="_Toc20311585"/>
                      <w:bookmarkStart w:id="25" w:name="_Toc26719410"/>
                      <w:bookmarkStart w:id="26" w:name="_Toc29894843"/>
                      <w:bookmarkStart w:id="27" w:name="_Toc29899142"/>
                      <w:bookmarkStart w:id="28" w:name="_Toc29899560"/>
                      <w:bookmarkStart w:id="29" w:name="_Toc29917297"/>
                      <w:bookmarkStart w:id="30" w:name="_Toc36498171"/>
                      <w:bookmarkStart w:id="31" w:name="_Toc45699197"/>
                      <w:bookmarkStart w:id="32" w:name="_Toc99993815"/>
                      <w:r w:rsidRPr="00D05745">
                        <w:rPr>
                          <w:rFonts w:ascii="Arial" w:hAnsi="Arial" w:cs="Arial"/>
                          <w:sz w:val="24"/>
                          <w:szCs w:val="24"/>
                        </w:rPr>
                        <w:t>9.1.3.1</w:t>
                      </w:r>
                      <w:r w:rsidRPr="00D05745">
                        <w:rPr>
                          <w:rFonts w:ascii="Arial" w:hAnsi="Arial" w:cs="Arial"/>
                          <w:sz w:val="24"/>
                          <w:szCs w:val="24"/>
                        </w:rPr>
                        <w:tab/>
                        <w:t xml:space="preserve">Type-2 HARQ-ACK codebook in </w:t>
                      </w:r>
                      <w:bookmarkEnd w:id="22"/>
                      <w:r w:rsidRPr="00D05745">
                        <w:rPr>
                          <w:rFonts w:ascii="Arial" w:hAnsi="Arial" w:cs="Arial"/>
                          <w:sz w:val="24"/>
                          <w:szCs w:val="24"/>
                        </w:rPr>
                        <w:t>physical uplink control channel</w:t>
                      </w:r>
                      <w:bookmarkEnd w:id="23"/>
                      <w:bookmarkEnd w:id="24"/>
                      <w:bookmarkEnd w:id="25"/>
                      <w:bookmarkEnd w:id="26"/>
                      <w:bookmarkEnd w:id="27"/>
                      <w:bookmarkEnd w:id="28"/>
                      <w:bookmarkEnd w:id="29"/>
                      <w:bookmarkEnd w:id="30"/>
                      <w:bookmarkEnd w:id="31"/>
                      <w:bookmarkEnd w:id="32"/>
                    </w:p>
                    <w:p w14:paraId="2452CED1" w14:textId="4D9B93CA" w:rsidR="000A7715" w:rsidRPr="00D05745" w:rsidRDefault="000A7715" w:rsidP="00D05745">
                      <w:pPr>
                        <w:widowControl/>
                        <w:jc w:val="left"/>
                        <w:rPr>
                          <w:rFonts w:ascii="Times" w:hAnsi="Times" w:cs="Times New Roman"/>
                          <w:iCs/>
                          <w:kern w:val="0"/>
                          <w:szCs w:val="24"/>
                          <w:lang w:val="en-GB"/>
                        </w:rPr>
                      </w:pPr>
                      <w:r>
                        <w:rPr>
                          <w:rFonts w:ascii="Times" w:hAnsi="Times" w:cs="Times New Roman"/>
                          <w:iCs/>
                          <w:kern w:val="0"/>
                          <w:szCs w:val="24"/>
                          <w:lang w:val="en-GB"/>
                        </w:rPr>
                        <w:t>…</w:t>
                      </w:r>
                    </w:p>
                    <w:p w14:paraId="524D3BA0" w14:textId="1FFF054F" w:rsidR="000A7715" w:rsidRDefault="000A7715" w:rsidP="00D64E92">
                      <w:pPr>
                        <w:widowControl/>
                        <w:jc w:val="left"/>
                        <w:rPr>
                          <w:rFonts w:ascii="Times" w:eastAsia="Batang" w:hAnsi="Times" w:cs="Times New Roman"/>
                          <w:iCs/>
                          <w:kern w:val="0"/>
                          <w:szCs w:val="24"/>
                          <w:lang w:val="en-GB" w:eastAsia="x-none"/>
                        </w:rPr>
                      </w:pPr>
                      <w:r>
                        <w:rPr>
                          <w:noProof/>
                        </w:rPr>
                        <w:drawing>
                          <wp:inline distT="0" distB="0" distL="0" distR="0" wp14:anchorId="157B5C01" wp14:editId="48C21A7F">
                            <wp:extent cx="5563235" cy="68834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63235" cy="688340"/>
                                    </a:xfrm>
                                    <a:prstGeom prst="rect">
                                      <a:avLst/>
                                    </a:prstGeom>
                                  </pic:spPr>
                                </pic:pic>
                              </a:graphicData>
                            </a:graphic>
                          </wp:inline>
                        </w:drawing>
                      </w:r>
                    </w:p>
                    <w:p w14:paraId="16B233EE" w14:textId="58B6983D" w:rsidR="000A7715" w:rsidRPr="00D05745" w:rsidRDefault="000A7715" w:rsidP="00D64E92">
                      <w:pPr>
                        <w:widowControl/>
                        <w:jc w:val="left"/>
                        <w:rPr>
                          <w:rFonts w:ascii="Times" w:hAnsi="Times" w:cs="Times New Roman"/>
                          <w:iCs/>
                          <w:kern w:val="0"/>
                          <w:szCs w:val="24"/>
                          <w:lang w:val="en-GB"/>
                        </w:rPr>
                      </w:pPr>
                      <w:r>
                        <w:rPr>
                          <w:rFonts w:ascii="Times" w:hAnsi="Times" w:cs="Times New Roman"/>
                          <w:iCs/>
                          <w:kern w:val="0"/>
                          <w:szCs w:val="24"/>
                          <w:lang w:val="en-GB"/>
                        </w:rPr>
                        <w:t>…</w:t>
                      </w:r>
                    </w:p>
                    <w:p w14:paraId="7A4CD454" w14:textId="77777777" w:rsidR="000A7715" w:rsidRDefault="000A7715" w:rsidP="00D64E92">
                      <w:pPr>
                        <w:pStyle w:val="B10"/>
                        <w:rPr>
                          <w:rFonts w:cs="Arial"/>
                          <w:lang w:eastAsia="zh-CN"/>
                        </w:rPr>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w:t>
                      </w:r>
                    </w:p>
                    <w:p w14:paraId="707A8343" w14:textId="77777777" w:rsidR="000A7715" w:rsidRDefault="000A7715" w:rsidP="00D64E92">
                      <w:pPr>
                        <w:pStyle w:val="B2"/>
                        <w:rPr>
                          <w:lang w:eastAsia="zh-CN"/>
                        </w:rPr>
                      </w:pPr>
                      <w:r w:rsidRPr="00B06CC2">
                        <w:t>-</w:t>
                      </w:r>
                      <w:r w:rsidRPr="00B06CC2">
                        <w:tab/>
                      </w:r>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E9040D">
                        <w:rPr>
                          <w:rFonts w:hint="eastAsia"/>
                          <w:lang w:eastAsia="zh-CN"/>
                        </w:rPr>
                        <w:t xml:space="preserve"> the number of </w:t>
                      </w:r>
                      <w:r w:rsidRPr="00E9040D">
                        <w:t xml:space="preserve">transport blocks </w:t>
                      </w:r>
                      <w:r>
                        <w:t>the UE receives</w:t>
                      </w:r>
                      <w:r w:rsidRPr="00E9040D">
                        <w:t xml:space="preserve"> </w:t>
                      </w:r>
                      <w:r>
                        <w:t>in a PDSCH</w:t>
                      </w:r>
                      <w:r>
                        <w:rPr>
                          <w:lang w:val="en-US"/>
                        </w:rPr>
                        <w:t xml:space="preserve">, or the number of </w:t>
                      </w:r>
                      <w:r w:rsidRPr="00D05745">
                        <w:rPr>
                          <w:highlight w:val="yellow"/>
                          <w:lang w:val="en-US"/>
                        </w:rPr>
                        <w:t>transport block groups</w:t>
                      </w:r>
                      <w:r>
                        <w:rPr>
                          <w:lang w:val="en-US"/>
                        </w:rPr>
                        <w:t xml:space="preserve"> in PDSCHs if </w:t>
                      </w:r>
                      <w:proofErr w:type="spellStart"/>
                      <w:r w:rsidRPr="00B27E56">
                        <w:rPr>
                          <w:i/>
                          <w:iCs/>
                        </w:rPr>
                        <w:t>numberOfHARQ-BundlingGroups</w:t>
                      </w:r>
                      <w:proofErr w:type="spellEnd"/>
                      <w:r>
                        <w:rPr>
                          <w:lang w:val="en-US"/>
                        </w:rPr>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is provided,</w:t>
                      </w:r>
                      <w:r>
                        <w:t xml:space="preserve">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60CB8226" w14:textId="6ABCF0C7" w:rsidR="000A7715" w:rsidRDefault="000A7715" w:rsidP="00D64E92">
                      <w:pPr>
                        <w:widowControl/>
                        <w:jc w:val="left"/>
                        <w:rPr>
                          <w:rFonts w:ascii="Times" w:hAnsi="Times" w:cs="Times New Roman"/>
                          <w:iCs/>
                          <w:kern w:val="0"/>
                          <w:szCs w:val="24"/>
                          <w:lang w:val="en-GB"/>
                        </w:rPr>
                      </w:pPr>
                      <w:r>
                        <w:rPr>
                          <w:rFonts w:ascii="Times" w:hAnsi="Times" w:cs="Times New Roman"/>
                          <w:iCs/>
                          <w:kern w:val="0"/>
                          <w:szCs w:val="24"/>
                          <w:lang w:val="en-GB"/>
                        </w:rPr>
                        <w:t>…</w:t>
                      </w:r>
                    </w:p>
                    <w:p w14:paraId="2C29C470" w14:textId="77777777" w:rsidR="000A7715" w:rsidRPr="00B7372F" w:rsidRDefault="000A7715" w:rsidP="008F06B0">
                      <w:r w:rsidRPr="00B27E56">
                        <w:t xml:space="preserve">If a UE is provided </w:t>
                      </w:r>
                      <w:proofErr w:type="spellStart"/>
                      <w:r w:rsidRPr="00B27E56">
                        <w:rPr>
                          <w:i/>
                          <w:iCs/>
                        </w:rPr>
                        <w:t>numberOfHARQ-BundlingGroups</w:t>
                      </w:r>
                      <w:proofErr w:type="spellEnd"/>
                      <w:r w:rsidRPr="00B27E56">
                        <w:t xml:space="preserve"> </w:t>
                      </w:r>
                      <w:r>
                        <w:t xml:space="preserve">and is not provided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rPr>
                        <w:t xml:space="preserve"> </w:t>
                      </w:r>
                      <w:r w:rsidRPr="00B27E56">
                        <w:t>for a serving cell</w:t>
                      </w:r>
                      <w:r>
                        <w:t xml:space="preserve"> </w:t>
                      </w:r>
                      <m:oMath>
                        <m:r>
                          <w:rPr>
                            <w:rFonts w:ascii="Cambria Math" w:hAnsi="Cambria Math"/>
                          </w:rPr>
                          <m:t>c</m:t>
                        </m:r>
                      </m:oMath>
                      <w:r w:rsidRPr="00B27E56">
                        <w:t xml:space="preserve">, the UE generates HARQ-ACK information over </w:t>
                      </w:r>
                      <w:r w:rsidRPr="00D05745">
                        <w:rPr>
                          <w:highlight w:val="yellow"/>
                        </w:rPr>
                        <w:t>transport block groups</w:t>
                      </w:r>
                      <w:r w:rsidRPr="00B27E56">
                        <w:t xml:space="preserve"> (</w:t>
                      </w:r>
                      <w:r w:rsidRPr="00D05745">
                        <w:rPr>
                          <w:highlight w:val="yellow"/>
                        </w:rPr>
                        <w:t>TBGs</w:t>
                      </w:r>
                      <w:r w:rsidRPr="00B27E56">
                        <w:t xml:space="preserve">)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PDSCH receptions scheduled by a DCI format on the serving cell, a maximum number of </w:t>
                      </w:r>
                      <w:r w:rsidRPr="00D05745">
                        <w:rPr>
                          <w:highlight w:val="yellow"/>
                        </w:rPr>
                        <w:t>TBGs</w:t>
                      </w:r>
                      <w:r w:rsidRPr="00B27E56">
                        <w:t xml:space="preserv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is provided</w:t>
                      </w:r>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first TBs and, </w:t>
                      </w:r>
                      <w:r w:rsidRPr="00C9017B">
                        <w:rPr>
                          <w:highlight w:val="red"/>
                        </w:rPr>
                        <w:t>if applicable</w:t>
                      </w:r>
                      <w:r w:rsidRPr="00B27E56">
                        <w:t xml:space="preserv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w:t>
                      </w:r>
                      <w:r>
                        <w:t xml:space="preserve"> </w:t>
                      </w:r>
                      <w:r w:rsidRPr="00B7372F">
                        <w:t xml:space="preserve">For a </w:t>
                      </w:r>
                      <w:r w:rsidRPr="00D05745">
                        <w:rPr>
                          <w:highlight w:val="yellow"/>
                        </w:rPr>
                        <w:t>TBG</w:t>
                      </w:r>
                      <w:r w:rsidRPr="00B7372F">
                        <w:t xml:space="preserve"> </w:t>
                      </w:r>
                      <w:r>
                        <w:t xml:space="preserve">associated </w:t>
                      </w:r>
                      <w:r w:rsidRPr="00B7372F">
                        <w:t xml:space="preserve">with at least </w:t>
                      </w:r>
                      <w:r>
                        <w:t xml:space="preserve">one </w:t>
                      </w:r>
                      <w:r w:rsidRPr="00B7372F">
                        <w:t xml:space="preserve">PDSCH </w:t>
                      </w:r>
                      <w:r>
                        <w:t xml:space="preserve">that does </w:t>
                      </w:r>
                      <w:r w:rsidRPr="00B7372F">
                        <w:t xml:space="preserve">not overlap 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 xml:space="preserve">if provided, the UE 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are correctly received</w:t>
                      </w:r>
                      <w:r w:rsidRPr="00B7372F">
                        <w:t xml:space="preserve">. For a </w:t>
                      </w:r>
                      <w:r w:rsidRPr="00D05745">
                        <w:rPr>
                          <w:highlight w:val="yellow"/>
                        </w:rPr>
                        <w:t>TBG</w:t>
                      </w:r>
                      <w:r w:rsidRPr="00B7372F">
                        <w:t xml:space="preserve">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w:t>
                      </w:r>
                      <w:r w:rsidRPr="00D05745">
                        <w:rPr>
                          <w:highlight w:val="yellow"/>
                        </w:rPr>
                        <w:t>TBG</w:t>
                      </w:r>
                      <w:r w:rsidRPr="00B7372F">
                        <w:t>.</w:t>
                      </w:r>
                    </w:p>
                    <w:p w14:paraId="2C363A18" w14:textId="6DE32E69" w:rsidR="001D4FBB" w:rsidRDefault="001D4FBB" w:rsidP="00D64E92">
                      <w:pPr>
                        <w:widowControl/>
                        <w:autoSpaceDE w:val="0"/>
                        <w:autoSpaceDN w:val="0"/>
                      </w:pPr>
                      <w:r>
                        <w:t>…</w:t>
                      </w:r>
                    </w:p>
                    <w:p w14:paraId="3F785C51" w14:textId="237E997A" w:rsidR="000A7715" w:rsidRDefault="000A7715" w:rsidP="00D64E92">
                      <w:pPr>
                        <w:widowControl/>
                        <w:autoSpaceDE w:val="0"/>
                        <w:autoSpaceDN w:val="0"/>
                      </w:pPr>
                      <w:r>
                        <w:rPr>
                          <w:noProof/>
                        </w:rPr>
                        <w:drawing>
                          <wp:inline distT="0" distB="0" distL="0" distR="0" wp14:anchorId="4AD2B1B1" wp14:editId="5D35384D">
                            <wp:extent cx="5563235" cy="3822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63235" cy="382270"/>
                                    </a:xfrm>
                                    <a:prstGeom prst="rect">
                                      <a:avLst/>
                                    </a:prstGeom>
                                  </pic:spPr>
                                </pic:pic>
                              </a:graphicData>
                            </a:graphic>
                          </wp:inline>
                        </w:drawing>
                      </w:r>
                    </w:p>
                    <w:p w14:paraId="6305BAFC" w14:textId="46CC7BFA" w:rsidR="000A7715" w:rsidRDefault="000A7715" w:rsidP="00D64E92">
                      <w:pPr>
                        <w:widowControl/>
                        <w:autoSpaceDE w:val="0"/>
                        <w:autoSpaceDN w:val="0"/>
                      </w:pPr>
                      <w:r>
                        <w:t>…</w:t>
                      </w:r>
                    </w:p>
                    <w:p w14:paraId="2F6DF15B" w14:textId="77777777" w:rsidR="000A7715" w:rsidRDefault="000A7715" w:rsidP="004E3E59">
                      <w:pPr>
                        <w:pStyle w:val="B10"/>
                        <w:rPr>
                          <w:lang w:eastAsia="zh-CN"/>
                        </w:rPr>
                      </w:pPr>
                      <w:r w:rsidRPr="001E3726">
                        <w:t>-</w:t>
                      </w:r>
                      <w:r w:rsidRPr="001E3726">
                        <w:tab/>
                        <w:t xml:space="preserve">if </w:t>
                      </w:r>
                      <w:proofErr w:type="spellStart"/>
                      <w:r w:rsidRPr="001E3726">
                        <w:t>harq</w:t>
                      </w:r>
                      <w:proofErr w:type="spellEnd"/>
                      <w:r w:rsidRPr="001E3726">
                        <w:t>-ACK-</w:t>
                      </w:r>
                      <w:proofErr w:type="spellStart"/>
                      <w:r w:rsidRPr="001E3726">
                        <w:t>SpatialBundlingPUCCH</w:t>
                      </w:r>
                      <w:proofErr w:type="spellEnd"/>
                      <w:r w:rsidRPr="001E3726">
                        <w:rPr>
                          <w:rFonts w:hint="eastAsia"/>
                          <w:lang w:eastAsia="zh-CN"/>
                        </w:rPr>
                        <w:t xml:space="preserve"> </w:t>
                      </w:r>
                      <w:r w:rsidRPr="001E3726">
                        <w:rPr>
                          <w:lang w:eastAsia="zh-CN"/>
                        </w:rPr>
                        <w:t>is not provided,</w:t>
                      </w:r>
                    </w:p>
                    <w:p w14:paraId="27D0EBC7" w14:textId="77777777" w:rsidR="000A7715" w:rsidRDefault="000A7715" w:rsidP="004E3E59">
                      <w:pPr>
                        <w:pStyle w:val="B2"/>
                        <w:ind w:left="852"/>
                      </w:pPr>
                      <w:r w:rsidRPr="001E3726">
                        <w:t>-</w:t>
                      </w:r>
                      <w:r w:rsidRPr="001E3726">
                        <w:tab/>
                        <w:t>if</w:t>
                      </w:r>
                      <w:r>
                        <w:rPr>
                          <w:lang w:val="en-US"/>
                        </w:rPr>
                        <w:t xml:space="preserve"> </w:t>
                      </w:r>
                      <w:proofErr w:type="spellStart"/>
                      <w:r w:rsidRPr="00B27E56">
                        <w:rPr>
                          <w:i/>
                          <w:iCs/>
                        </w:rPr>
                        <w:t>numberOfHARQ-BundlingGroups</w:t>
                      </w:r>
                      <w:proofErr w:type="spellEnd"/>
                      <w:r>
                        <w:rPr>
                          <w:lang w:val="en-US"/>
                        </w:rPr>
                        <w:t xml:space="preserve"> is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w:t>
                      </w:r>
                      <w:r w:rsidRPr="00D05745">
                        <w:rPr>
                          <w:highlight w:val="yellow"/>
                        </w:rPr>
                        <w:t>TBGs</w:t>
                      </w:r>
                      <w:r w:rsidRPr="001E3726">
                        <w:t xml:space="preserve"> including at least one PDSCH not overlapping with a</w:t>
                      </w:r>
                      <w:r>
                        <w:rPr>
                          <w:lang w:val="en-US"/>
                        </w:rPr>
                        <w:t>n</w:t>
                      </w:r>
                      <w:r w:rsidRPr="001E3726">
                        <w:t xml:space="preserve"> UL symbol indicated by </w:t>
                      </w:r>
                      <w:proofErr w:type="spellStart"/>
                      <w:r w:rsidRPr="001E3726">
                        <w:rPr>
                          <w:i/>
                          <w:iCs/>
                        </w:rPr>
                        <w:t>tdd</w:t>
                      </w:r>
                      <w:proofErr w:type="spellEnd"/>
                      <w:r w:rsidRPr="001E3726">
                        <w:rPr>
                          <w:i/>
                          <w:iCs/>
                        </w:rPr>
                        <w:t>-UL-DL-</w:t>
                      </w:r>
                      <w:proofErr w:type="spellStart"/>
                      <w:r w:rsidRPr="001E3726">
                        <w:rPr>
                          <w:i/>
                          <w:iCs/>
                        </w:rPr>
                        <w:t>ConfigurationCommon</w:t>
                      </w:r>
                      <w:proofErr w:type="spellEnd"/>
                      <w:r>
                        <w:rPr>
                          <w:lang w:val="en-US"/>
                        </w:rPr>
                        <w:t xml:space="preserve">, </w:t>
                      </w:r>
                      <w:r w:rsidRPr="001E3726">
                        <w:t>or</w:t>
                      </w:r>
                      <w:r>
                        <w:rPr>
                          <w:lang w:val="en-US"/>
                        </w:rPr>
                        <w:t xml:space="preserve"> by</w:t>
                      </w:r>
                      <w:r w:rsidRPr="001E3726">
                        <w:t xml:space="preserve"> </w:t>
                      </w:r>
                      <w:proofErr w:type="spellStart"/>
                      <w:r w:rsidRPr="001E3726">
                        <w:rPr>
                          <w:i/>
                          <w:iCs/>
                        </w:rPr>
                        <w:t>tdd</w:t>
                      </w:r>
                      <w:proofErr w:type="spellEnd"/>
                      <w:r w:rsidRPr="001E3726">
                        <w:rPr>
                          <w:i/>
                          <w:iCs/>
                        </w:rPr>
                        <w:t>-UL-DL-</w:t>
                      </w:r>
                      <w:proofErr w:type="spellStart"/>
                      <w:r w:rsidRPr="001E3726">
                        <w:rPr>
                          <w:i/>
                          <w:iCs/>
                        </w:rPr>
                        <w:t>ConfigurationDedicated</w:t>
                      </w:r>
                      <w:proofErr w:type="spellEnd"/>
                      <w:r w:rsidRPr="001E3726">
                        <w:rPr>
                          <w:i/>
                          <w:iCs/>
                        </w:rPr>
                        <w:t xml:space="preserve"> </w:t>
                      </w:r>
                      <w:r w:rsidRPr="001E3726">
                        <w:t>if provided</w:t>
                      </w:r>
                      <w:r>
                        <w:rPr>
                          <w:lang w:val="en-US"/>
                        </w:rPr>
                        <w:t>,</w:t>
                      </w:r>
                      <w:r w:rsidRPr="001E3726">
                        <w:t xml:space="preserve"> </w:t>
                      </w:r>
                      <w:r>
                        <w:rPr>
                          <w:lang w:val="en-US"/>
                        </w:rPr>
                        <w:t xml:space="preserve">that </w:t>
                      </w:r>
                      <w:r w:rsidRPr="001E3726">
                        <w:t xml:space="preserve">the UE receives in serving cell </w:t>
                      </w:r>
                      <m:oMath>
                        <m:r>
                          <w:rPr>
                            <w:rFonts w:ascii="Cambria Math" w:hAnsi="Cambria Math"/>
                          </w:rPr>
                          <m:t>c</m:t>
                        </m:r>
                      </m:oMath>
                      <w:r w:rsidRPr="001E3726">
                        <w:rPr>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lang w:eastAsia="ko-KR"/>
                        </w:rPr>
                        <w:t xml:space="preserve"> in PDCCH monitoring occasion </w:t>
                      </w:r>
                      <m:oMath>
                        <m:r>
                          <w:rPr>
                            <w:rFonts w:ascii="Cambria Math" w:hAnsi="Cambria Math"/>
                          </w:rPr>
                          <m:t>m</m:t>
                        </m:r>
                      </m:oMath>
                      <w:r w:rsidRPr="001E3726">
                        <w:t xml:space="preserve"> and the UE reports corresponding HARQ-ACK information in the PUCCH</w:t>
                      </w:r>
                    </w:p>
                    <w:p w14:paraId="2DBCF938" w14:textId="6A74992A" w:rsidR="000A7715" w:rsidRPr="003626F5" w:rsidRDefault="000A7715" w:rsidP="00B177BF">
                      <w:pPr>
                        <w:widowControl/>
                        <w:autoSpaceDE w:val="0"/>
                        <w:autoSpaceDN w:val="0"/>
                      </w:pPr>
                      <w:r>
                        <w:t>…</w:t>
                      </w:r>
                    </w:p>
                  </w:txbxContent>
                </v:textbox>
                <w10:anchorlock/>
              </v:shape>
            </w:pict>
          </mc:Fallback>
        </mc:AlternateContent>
      </w:r>
    </w:p>
    <w:p w14:paraId="543C5369" w14:textId="2C28B6AE" w:rsidR="003A36AE" w:rsidRDefault="004E3E59" w:rsidP="00C05C1F">
      <w:pPr>
        <w:widowControl/>
        <w:spacing w:after="120"/>
        <w:rPr>
          <w:rFonts w:cs="Times New Roman"/>
          <w:kern w:val="0"/>
          <w:szCs w:val="20"/>
        </w:rPr>
      </w:pPr>
      <w:r>
        <w:rPr>
          <w:rFonts w:cs="Times New Roman" w:hint="eastAsia"/>
          <w:kern w:val="0"/>
          <w:szCs w:val="20"/>
        </w:rPr>
        <w:t>R</w:t>
      </w:r>
      <w:r>
        <w:rPr>
          <w:rFonts w:cs="Times New Roman"/>
          <w:kern w:val="0"/>
          <w:szCs w:val="20"/>
        </w:rPr>
        <w:t xml:space="preserve">egarding the concept of TBG, </w:t>
      </w:r>
      <w:r w:rsidR="008753AF">
        <w:rPr>
          <w:rFonts w:cs="Times New Roman"/>
          <w:kern w:val="0"/>
          <w:szCs w:val="20"/>
        </w:rPr>
        <w:t xml:space="preserve">as well as the </w:t>
      </w:r>
      <w:r w:rsidR="005718E0">
        <w:rPr>
          <w:rFonts w:cs="Times New Roman"/>
          <w:kern w:val="0"/>
          <w:szCs w:val="20"/>
        </w:rPr>
        <w:t xml:space="preserve">above </w:t>
      </w:r>
      <w:r w:rsidR="0020774A">
        <w:rPr>
          <w:rFonts w:cs="Times New Roman"/>
          <w:kern w:val="0"/>
          <w:szCs w:val="20"/>
        </w:rPr>
        <w:t>refer</w:t>
      </w:r>
      <w:r w:rsidR="00B72D3F">
        <w:rPr>
          <w:rFonts w:cs="Times New Roman"/>
          <w:kern w:val="0"/>
          <w:szCs w:val="20"/>
        </w:rPr>
        <w:t>r</w:t>
      </w:r>
      <w:r w:rsidR="0020774A">
        <w:rPr>
          <w:rFonts w:cs="Times New Roman"/>
          <w:kern w:val="0"/>
          <w:szCs w:val="20"/>
        </w:rPr>
        <w:t xml:space="preserve">ed </w:t>
      </w:r>
      <w:r w:rsidR="008753AF">
        <w:rPr>
          <w:rFonts w:cs="Times New Roman"/>
          <w:kern w:val="0"/>
          <w:szCs w:val="20"/>
        </w:rPr>
        <w:t>de</w:t>
      </w:r>
      <w:r w:rsidR="005718E0">
        <w:rPr>
          <w:rFonts w:cs="Times New Roman"/>
          <w:kern w:val="0"/>
          <w:szCs w:val="20"/>
        </w:rPr>
        <w:t>scriptions, some questions can be raised as below.</w:t>
      </w:r>
    </w:p>
    <w:p w14:paraId="074164AB" w14:textId="344F2A1E" w:rsidR="005718E0" w:rsidRPr="00B177BF" w:rsidRDefault="005718E0" w:rsidP="00C05C1F">
      <w:pPr>
        <w:widowControl/>
        <w:spacing w:after="120"/>
        <w:rPr>
          <w:rFonts w:cs="Times New Roman"/>
          <w:kern w:val="0"/>
          <w:szCs w:val="20"/>
        </w:rPr>
      </w:pPr>
      <w:r w:rsidRPr="00D05745">
        <w:rPr>
          <w:rFonts w:cs="Times New Roman"/>
          <w:b/>
          <w:kern w:val="0"/>
          <w:szCs w:val="20"/>
        </w:rPr>
        <w:lastRenderedPageBreak/>
        <w:t>Q1</w:t>
      </w:r>
      <w:r>
        <w:rPr>
          <w:rFonts w:cs="Times New Roman"/>
          <w:kern w:val="0"/>
          <w:szCs w:val="20"/>
        </w:rPr>
        <w:t>: Is TBGs only applicable for an enabled TB, or also applicable for a disabled TB?</w:t>
      </w:r>
    </w:p>
    <w:p w14:paraId="29155904" w14:textId="30F50D13" w:rsidR="00FA10C0" w:rsidRDefault="005718E0" w:rsidP="00C05C1F">
      <w:pPr>
        <w:widowControl/>
        <w:spacing w:after="120"/>
        <w:rPr>
          <w:rFonts w:cs="Times New Roman"/>
          <w:kern w:val="0"/>
          <w:szCs w:val="20"/>
        </w:rPr>
      </w:pPr>
      <w:r>
        <w:rPr>
          <w:rFonts w:cs="Times New Roman" w:hint="eastAsia"/>
          <w:kern w:val="0"/>
          <w:szCs w:val="20"/>
        </w:rPr>
        <w:t>W</w:t>
      </w:r>
      <w:r>
        <w:rPr>
          <w:rFonts w:cs="Times New Roman"/>
          <w:kern w:val="0"/>
          <w:szCs w:val="20"/>
        </w:rPr>
        <w:t xml:space="preserve">hen two-codeword transmission is configured, a DL scheduling DCI can indicate two TBs, one of which may be disabled. When both TBs are enabled, the same division of TBGs can be assumed due to the same value setting of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00DC7BC6"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00DC7BC6">
        <w:rPr>
          <w:rFonts w:cs="Times New Roman"/>
          <w:kern w:val="0"/>
          <w:szCs w:val="20"/>
        </w:rPr>
        <w:t xml:space="preserve">. </w:t>
      </w:r>
      <w:r w:rsidR="0040117A">
        <w:rPr>
          <w:rFonts w:cs="Times New Roman"/>
          <w:kern w:val="0"/>
          <w:szCs w:val="20"/>
        </w:rPr>
        <w:t>However</w:t>
      </w:r>
      <w:r w:rsidR="00DC7BC6">
        <w:rPr>
          <w:rFonts w:cs="Times New Roman"/>
          <w:kern w:val="0"/>
          <w:szCs w:val="20"/>
        </w:rPr>
        <w:t>, when one TB is disabled, is the divis</w:t>
      </w:r>
      <w:r w:rsidR="00DC7BC6">
        <w:rPr>
          <w:rFonts w:cs="Times New Roman" w:hint="eastAsia"/>
          <w:kern w:val="0"/>
          <w:szCs w:val="20"/>
        </w:rPr>
        <w:t>ion</w:t>
      </w:r>
      <w:r w:rsidR="00DC7BC6">
        <w:rPr>
          <w:rFonts w:cs="Times New Roman"/>
          <w:kern w:val="0"/>
          <w:szCs w:val="20"/>
        </w:rPr>
        <w:t xml:space="preserve"> of TBGs applied to the disable TB? In our opinion, division of TBGs should not be applied to a disabled TB, since for each scheduled PDSCH by the DCI, no actual TB is transmitted corresponding to the disabled TB.</w:t>
      </w:r>
    </w:p>
    <w:p w14:paraId="46BE313C" w14:textId="2157BA3E" w:rsidR="00F3192E" w:rsidRDefault="00DC7BC6" w:rsidP="00C05C1F">
      <w:pPr>
        <w:widowControl/>
        <w:spacing w:after="120"/>
      </w:pPr>
      <w:r>
        <w:rPr>
          <w:rFonts w:cs="Times New Roman" w:hint="eastAsia"/>
          <w:kern w:val="0"/>
          <w:szCs w:val="20"/>
        </w:rPr>
        <w:t>B</w:t>
      </w:r>
      <w:r>
        <w:rPr>
          <w:rFonts w:cs="Times New Roman"/>
          <w:kern w:val="0"/>
          <w:szCs w:val="20"/>
        </w:rPr>
        <w:t>esides, the answer to Q1 will</w:t>
      </w:r>
      <w:r w:rsidR="00B774E4">
        <w:rPr>
          <w:rFonts w:cs="Times New Roman"/>
          <w:kern w:val="0"/>
          <w:szCs w:val="20"/>
        </w:rPr>
        <w:t xml:space="preserve"> impact the understanding or calculation of the number of TBGs. For example, when calculating</w:t>
      </w:r>
      <w:r w:rsidR="00F3192E">
        <w:rPr>
          <w:rFonts w:cs="Times New Roman"/>
          <w:kern w:val="0"/>
          <w:szCs w:val="20"/>
        </w:rPr>
        <w:t xml:space="preserve"> the value of</w:t>
      </w:r>
      <w:r w:rsidR="00B774E4">
        <w:rPr>
          <w:rFonts w:cs="Times New Roman"/>
          <w:kern w:val="0"/>
          <w:szCs w:val="20"/>
        </w:rPr>
        <w:t xml:space="preserve"> </w:t>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rPr>
              <m:t>received</m:t>
            </m:r>
            <m:ctrlPr>
              <w:rPr>
                <w:rFonts w:ascii="Cambria Math" w:hAnsi="Cambria Math"/>
              </w:rPr>
            </m:ctrlPr>
          </m:sup>
        </m:sSubSup>
      </m:oMath>
      <w:r w:rsidR="00B774E4">
        <w:rPr>
          <w:rFonts w:cs="Arial"/>
        </w:rPr>
        <w:t xml:space="preserve"> </w:t>
      </w:r>
      <w:r w:rsidR="00B774E4" w:rsidRPr="00B06CC2">
        <w:rPr>
          <w:rFonts w:cs="Arial"/>
        </w:rPr>
        <w:t xml:space="preserve">or </w:t>
      </w:r>
      <m:oMath>
        <m:sSubSup>
          <m:sSubSupPr>
            <m:ctrlPr>
              <w:rPr>
                <w:rFonts w:ascii="Cambria Math" w:hAnsi="Cambria Math"/>
                <w:i/>
              </w:rPr>
            </m:ctrlPr>
          </m:sSubSupPr>
          <m:e>
            <m:r>
              <w:rPr>
                <w:rFonts w:ascii="Cambria Math"/>
              </w:rPr>
              <m:t>N</m:t>
            </m:r>
          </m:e>
          <m:sub>
            <m:r>
              <w:rPr>
                <w:rFonts w:ascii="Cambria Math"/>
              </w:rPr>
              <m:t>m,c,g</m:t>
            </m:r>
          </m:sub>
          <m:sup>
            <m:r>
              <m:rPr>
                <m:nor/>
              </m:rPr>
              <w:rPr>
                <w:rFonts w:ascii="Cambria Math"/>
              </w:rPr>
              <m:t>received</m:t>
            </m:r>
            <m:ctrlPr>
              <w:rPr>
                <w:rFonts w:ascii="Cambria Math" w:hAnsi="Cambria Math"/>
              </w:rPr>
            </m:ctrlPr>
          </m:sup>
        </m:sSubSup>
      </m:oMath>
      <w:r w:rsidR="00B774E4">
        <w:rPr>
          <w:rFonts w:cs="Times New Roman"/>
          <w:kern w:val="0"/>
          <w:szCs w:val="20"/>
        </w:rPr>
        <w:t xml:space="preserve"> in </w:t>
      </w:r>
      <m:oMath>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oMath>
      <w:r w:rsidR="00B774E4">
        <w:rPr>
          <w:rFonts w:cs="Times New Roman" w:hint="eastAsia"/>
        </w:rPr>
        <w:t xml:space="preserve"> </w:t>
      </w:r>
      <w:r w:rsidR="00B774E4">
        <w:rPr>
          <w:rFonts w:cs="Times New Roman"/>
          <w:kern w:val="0"/>
          <w:szCs w:val="20"/>
        </w:rPr>
        <w:t xml:space="preserve">calculation, to determine </w:t>
      </w:r>
      <w:r w:rsidR="00B774E4">
        <w:t xml:space="preserve">the number of </w:t>
      </w:r>
      <w:r w:rsidR="00B774E4" w:rsidRPr="00D05745">
        <w:t>transport block groups</w:t>
      </w:r>
      <w:r w:rsidR="00B774E4">
        <w:t xml:space="preserve"> in PDSCHs if </w:t>
      </w:r>
      <w:proofErr w:type="spellStart"/>
      <w:r w:rsidR="00B774E4" w:rsidRPr="00B27E56">
        <w:rPr>
          <w:i/>
          <w:iCs/>
        </w:rPr>
        <w:t>numberOfHARQ-BundlingGroups</w:t>
      </w:r>
      <w:proofErr w:type="spellEnd"/>
      <w:r w:rsidR="00B774E4">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TBG,max</m:t>
            </m:r>
            <m:ctrlPr>
              <w:rPr>
                <w:rFonts w:ascii="Cambria Math" w:hAnsi="Cambria Math"/>
              </w:rPr>
            </m:ctrlPr>
          </m:sup>
        </m:sSubSup>
        <m:r>
          <w:rPr>
            <w:rFonts w:ascii="Cambria Math" w:hAnsi="Cambria Math"/>
          </w:rPr>
          <m:t>=1</m:t>
        </m:r>
      </m:oMath>
      <w:r w:rsidR="00B774E4">
        <w:t xml:space="preserve"> is provided, assuming a DL scheduling DCI can indicate two TBs and one</w:t>
      </w:r>
      <w:r w:rsidR="00F3192E">
        <w:t xml:space="preserve"> of them is disabled, if TBGs only applicable for the enable TB, the value is 1, otherwise the value is 2. Naturally, the value of 1 is desirable to indicate the number of meaningful HARQ-ACK bits.</w:t>
      </w:r>
    </w:p>
    <w:p w14:paraId="64FEB15A" w14:textId="08DBA757" w:rsidR="0052644B" w:rsidRPr="00E91DB1" w:rsidRDefault="0052644B" w:rsidP="0052644B">
      <w:pPr>
        <w:pStyle w:val="a4"/>
        <w:jc w:val="both"/>
        <w:rPr>
          <w:rFonts w:eastAsia="Malgun Gothic"/>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820E10">
        <w:rPr>
          <w:rFonts w:cs="Times New Roman"/>
          <w:noProof/>
          <w:szCs w:val="20"/>
        </w:rPr>
        <w:t>1</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time domain bundling of Type-2 codebook, division of TBGs is applicable only for an enabled TB </w:t>
      </w:r>
      <w:r w:rsidR="00944151">
        <w:rPr>
          <w:rFonts w:cs="Times New Roman"/>
          <w:szCs w:val="20"/>
        </w:rPr>
        <w:t>of</w:t>
      </w:r>
      <w:r>
        <w:rPr>
          <w:rFonts w:cs="Times New Roman"/>
          <w:szCs w:val="20"/>
        </w:rPr>
        <w:t xml:space="preserve"> a DL scheduling DCI</w:t>
      </w:r>
      <w:r w:rsidRPr="00735297">
        <w:rPr>
          <w:rFonts w:cs="Times New Roman"/>
          <w:szCs w:val="20"/>
        </w:rPr>
        <w:t>.</w:t>
      </w:r>
    </w:p>
    <w:p w14:paraId="7D13840D" w14:textId="69EEE54D" w:rsidR="00437A4F" w:rsidRPr="001B6CB1" w:rsidRDefault="00437A4F" w:rsidP="00437A4F">
      <w:pPr>
        <w:widowControl/>
        <w:spacing w:after="120"/>
        <w:rPr>
          <w:rFonts w:cs="Times New Roman"/>
          <w:kern w:val="0"/>
          <w:szCs w:val="20"/>
        </w:rPr>
      </w:pPr>
      <w:r w:rsidRPr="001B6CB1">
        <w:rPr>
          <w:rFonts w:cs="Times New Roman"/>
          <w:b/>
          <w:kern w:val="0"/>
          <w:szCs w:val="20"/>
        </w:rPr>
        <w:t>Q</w:t>
      </w:r>
      <w:r>
        <w:rPr>
          <w:rFonts w:cs="Times New Roman"/>
          <w:b/>
          <w:kern w:val="0"/>
          <w:szCs w:val="20"/>
        </w:rPr>
        <w:t>2</w:t>
      </w:r>
      <w:r>
        <w:rPr>
          <w:rFonts w:cs="Times New Roman"/>
          <w:kern w:val="0"/>
          <w:szCs w:val="20"/>
        </w:rPr>
        <w:t>: How to understand the description “…</w:t>
      </w:r>
      <w:r w:rsidRPr="00B27E56">
        <w:t xml:space="preserve">and, </w:t>
      </w:r>
      <w:r w:rsidRPr="00D05745">
        <w:t>if applicable</w:t>
      </w:r>
      <w:r w:rsidRPr="00B177BF">
        <w:t>,</w:t>
      </w:r>
      <w:r w:rsidRPr="00B27E56">
        <w:t xml:space="preserv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Pr>
          <w:rFonts w:cs="Times New Roman"/>
          <w:kern w:val="0"/>
          <w:szCs w:val="20"/>
        </w:rPr>
        <w:t>”?</w:t>
      </w:r>
    </w:p>
    <w:p w14:paraId="36B3398A" w14:textId="5082FE21" w:rsidR="00F3192E" w:rsidRDefault="00437A4F" w:rsidP="00C05C1F">
      <w:pPr>
        <w:widowControl/>
        <w:spacing w:after="120"/>
        <w:rPr>
          <w:rFonts w:cs="Times New Roman"/>
          <w:kern w:val="0"/>
          <w:szCs w:val="20"/>
        </w:rPr>
      </w:pPr>
      <w:r>
        <w:rPr>
          <w:rFonts w:cs="Times New Roman" w:hint="eastAsia"/>
          <w:kern w:val="0"/>
          <w:szCs w:val="20"/>
        </w:rPr>
        <w:t>F</w:t>
      </w:r>
      <w:r>
        <w:rPr>
          <w:rFonts w:cs="Times New Roman"/>
          <w:kern w:val="0"/>
          <w:szCs w:val="20"/>
        </w:rPr>
        <w:t xml:space="preserve">rom our perspective, when two-codeword transmission is configured, </w:t>
      </w:r>
      <w:r w:rsidR="00FD0923">
        <w:rPr>
          <w:rFonts w:cs="Times New Roman"/>
          <w:kern w:val="0"/>
          <w:szCs w:val="20"/>
        </w:rPr>
        <w:t xml:space="preserve">each TB of a DL scheduling DCI will correspond to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00FD0923" w:rsidRPr="00B27E56">
        <w:t xml:space="preserve"> HARQ-ACK information bits</w:t>
      </w:r>
      <w:r w:rsidR="00FD0923">
        <w:t xml:space="preserve">. For an enabled TB, the UE can refer to the description in clause 9.1.1 </w:t>
      </w:r>
      <w:r w:rsidR="00FD0923" w:rsidRPr="00B27E56">
        <w:t xml:space="preserve">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00FD0923"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00FD0923">
        <w:t xml:space="preserve"> to generate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00FD0923" w:rsidRPr="00B27E56">
        <w:t xml:space="preserve"> HARQ-ACK information bits for </w:t>
      </w:r>
      <w:r w:rsidR="00FD0923">
        <w:t xml:space="preserve">the enabled TB. But for a disabled TB, the UE cannot apply the above operation since based on Q1 no division of TBGs is applicable for the disabled TB. Instead, the UE directly generate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00FD0923" w:rsidRPr="00B27E56">
        <w:t xml:space="preserve"> HARQ-ACK information bits</w:t>
      </w:r>
      <w:r w:rsidR="00FD0923">
        <w:t xml:space="preserve"> each </w:t>
      </w:r>
      <w:r w:rsidR="007A2E6E">
        <w:t xml:space="preserve">of </w:t>
      </w:r>
      <w:r w:rsidR="00B32449">
        <w:t>which</w:t>
      </w:r>
      <w:r w:rsidR="007A2E6E">
        <w:t xml:space="preserve"> is </w:t>
      </w:r>
      <w:r w:rsidR="00FD0923">
        <w:t>set to NACK for the</w:t>
      </w:r>
      <w:r w:rsidR="00944151">
        <w:t xml:space="preserve"> disabled TB.</w:t>
      </w:r>
      <w:r w:rsidR="00FD0923">
        <w:rPr>
          <w:rFonts w:cs="Times New Roman"/>
          <w:kern w:val="0"/>
          <w:szCs w:val="20"/>
        </w:rPr>
        <w:t xml:space="preserve"> </w:t>
      </w:r>
    </w:p>
    <w:p w14:paraId="5C434651" w14:textId="2525CE5E" w:rsidR="00D633F9" w:rsidRPr="00D05745" w:rsidRDefault="00D633F9" w:rsidP="00C05C1F">
      <w:pPr>
        <w:widowControl/>
        <w:spacing w:after="120"/>
        <w:rPr>
          <w:rFonts w:cs="Times New Roman"/>
          <w:kern w:val="0"/>
          <w:szCs w:val="20"/>
        </w:rPr>
      </w:pPr>
      <w:r>
        <w:rPr>
          <w:rFonts w:cs="Times New Roman" w:hint="eastAsia"/>
          <w:kern w:val="0"/>
          <w:szCs w:val="20"/>
        </w:rPr>
        <w:t>B</w:t>
      </w:r>
      <w:r>
        <w:rPr>
          <w:rFonts w:cs="Times New Roman"/>
          <w:kern w:val="0"/>
          <w:szCs w:val="20"/>
        </w:rPr>
        <w:t>esides, the description “</w:t>
      </w:r>
      <w:r w:rsidRPr="00B7372F">
        <w:t xml:space="preserve">For a </w:t>
      </w:r>
      <w:r w:rsidRPr="00D05745">
        <w:t>TBG</w:t>
      </w:r>
      <w:r w:rsidRPr="00B7372F">
        <w:t xml:space="preserve"> </w:t>
      </w:r>
      <w:r>
        <w:t xml:space="preserve">associated </w:t>
      </w:r>
      <w:r w:rsidRPr="00B7372F">
        <w:t xml:space="preserve">with at least </w:t>
      </w:r>
      <w:r>
        <w:t xml:space="preserve">one </w:t>
      </w:r>
      <w:r w:rsidRPr="00B7372F">
        <w:t xml:space="preserve">PDSCH </w:t>
      </w:r>
      <w:r>
        <w:t xml:space="preserve">that does </w:t>
      </w:r>
      <w:r w:rsidRPr="00B7372F">
        <w:t xml:space="preserve">not overlap 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 xml:space="preserve">if provided, the UE 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are correctly received</w:t>
      </w:r>
      <w:r w:rsidRPr="00B7372F">
        <w:t xml:space="preserve">. For a </w:t>
      </w:r>
      <w:r w:rsidRPr="00D05745">
        <w:t>TBG</w:t>
      </w:r>
      <w:r w:rsidRPr="00B7372F">
        <w:t xml:space="preserve">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w:t>
      </w:r>
      <w:r w:rsidRPr="00D05745">
        <w:t>TBG</w:t>
      </w:r>
      <w:r w:rsidRPr="00B7372F">
        <w:t>.</w:t>
      </w:r>
      <w:r>
        <w:rPr>
          <w:rFonts w:cs="Times New Roman"/>
          <w:kern w:val="0"/>
          <w:szCs w:val="20"/>
        </w:rPr>
        <w:t xml:space="preserve">” only applies to an enabled TB of a DL scheduling DCI. Furthermore, for a TBG of an enabled TB, an invalid PDSCH can </w:t>
      </w:r>
      <w:r w:rsidR="0080200C">
        <w:rPr>
          <w:rFonts w:cs="Times New Roman"/>
          <w:kern w:val="0"/>
          <w:szCs w:val="20"/>
        </w:rPr>
        <w:t>provide only one TB, so the description “…</w:t>
      </w:r>
      <w:r w:rsidR="0080200C">
        <w:t xml:space="preserve">TB(s) provided by a </w:t>
      </w:r>
      <w:r w:rsidR="0080200C" w:rsidRPr="00B7372F">
        <w:t xml:space="preserve">PDSCH </w:t>
      </w:r>
      <w:r w:rsidR="0080200C">
        <w:t>that overlaps…are correctly received</w:t>
      </w:r>
      <w:r w:rsidR="0080200C">
        <w:rPr>
          <w:rFonts w:cs="Times New Roman"/>
          <w:kern w:val="0"/>
          <w:szCs w:val="20"/>
        </w:rPr>
        <w:t>” can be updated to “…</w:t>
      </w:r>
      <w:r w:rsidR="0080200C" w:rsidRPr="00D05745">
        <w:rPr>
          <w:rFonts w:cs="Times New Roman"/>
          <w:color w:val="FF0000"/>
          <w:kern w:val="0"/>
          <w:szCs w:val="20"/>
          <w:u w:val="single"/>
        </w:rPr>
        <w:t xml:space="preserve">the </w:t>
      </w:r>
      <w:r w:rsidR="0080200C">
        <w:t>TB</w:t>
      </w:r>
      <w:r w:rsidR="0080200C" w:rsidRPr="00D05745">
        <w:rPr>
          <w:strike/>
          <w:color w:val="FF0000"/>
        </w:rPr>
        <w:t>(s)</w:t>
      </w:r>
      <w:r w:rsidR="0080200C">
        <w:t xml:space="preserve"> provided by a </w:t>
      </w:r>
      <w:r w:rsidR="0080200C" w:rsidRPr="00B7372F">
        <w:t xml:space="preserve">PDSCH </w:t>
      </w:r>
      <w:r w:rsidR="0080200C">
        <w:t>that overlaps…</w:t>
      </w:r>
      <w:proofErr w:type="spellStart"/>
      <w:r w:rsidR="0080200C" w:rsidRPr="00D05745">
        <w:rPr>
          <w:color w:val="FF0000"/>
          <w:u w:val="single"/>
        </w:rPr>
        <w:t>is</w:t>
      </w:r>
      <w:r w:rsidR="0080200C" w:rsidRPr="00D05745">
        <w:rPr>
          <w:strike/>
          <w:color w:val="FF0000"/>
        </w:rPr>
        <w:t>are</w:t>
      </w:r>
      <w:proofErr w:type="spellEnd"/>
      <w:r w:rsidR="0080200C">
        <w:t xml:space="preserve"> correctly received</w:t>
      </w:r>
      <w:r w:rsidR="0080200C">
        <w:rPr>
          <w:rFonts w:cs="Times New Roman"/>
          <w:kern w:val="0"/>
          <w:szCs w:val="20"/>
        </w:rPr>
        <w:t>” for accuracy.</w:t>
      </w:r>
    </w:p>
    <w:p w14:paraId="4382A6AA" w14:textId="6DAF6528" w:rsidR="00944151" w:rsidRPr="00E91DB1" w:rsidRDefault="00944151" w:rsidP="00944151">
      <w:pPr>
        <w:pStyle w:val="a4"/>
        <w:jc w:val="both"/>
        <w:rPr>
          <w:rFonts w:eastAsia="Malgun Gothic"/>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7F2C76">
        <w:rPr>
          <w:rFonts w:cs="Times New Roman"/>
          <w:noProof/>
          <w:szCs w:val="20"/>
        </w:rPr>
        <w:t>2</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time domain bundling of Type-2 codebook, </w:t>
      </w:r>
      <w:r>
        <w:t xml:space="preserve">the UE directly generate </w:t>
      </w:r>
      <m:oMath>
        <m:sSubSup>
          <m:sSubSupPr>
            <m:ctrlPr>
              <w:rPr>
                <w:rFonts w:ascii="Cambria Math" w:hAnsi="Cambria Math"/>
                <w:i/>
              </w:rPr>
            </m:ctrlPr>
          </m:sSubSupPr>
          <m:e>
            <m:r>
              <m:rPr>
                <m:sty m:val="bi"/>
              </m:rPr>
              <w:rPr>
                <w:rFonts w:ascii="Cambria Math"/>
              </w:rPr>
              <m:t>N</m:t>
            </m:r>
          </m:e>
          <m:sub>
            <m:r>
              <m:rPr>
                <m:sty m:val="b"/>
              </m:rPr>
              <w:rPr>
                <w:rFonts w:ascii="Cambria Math"/>
              </w:rPr>
              <m:t>HARQ</m:t>
            </m:r>
            <m:r>
              <m:rPr>
                <m:sty m:val="b"/>
              </m:rPr>
              <w:rPr>
                <w:rFonts w:ascii="Cambria Math"/>
              </w:rPr>
              <m:t>-</m:t>
            </m:r>
            <m:r>
              <m:rPr>
                <m:sty m:val="b"/>
              </m:rPr>
              <w:rPr>
                <w:rFonts w:ascii="Cambria Math"/>
              </w:rPr>
              <m:t>ACK,</m:t>
            </m:r>
            <m:r>
              <m:rPr>
                <m:sty m:val="bi"/>
              </m:rPr>
              <w:rPr>
                <w:rFonts w:ascii="Cambria Math"/>
              </w:rPr>
              <m:t>c</m:t>
            </m:r>
            <m:ctrlPr>
              <w:rPr>
                <w:rFonts w:ascii="Cambria Math" w:hAnsi="Cambria Math"/>
              </w:rPr>
            </m:ctrlPr>
          </m:sub>
          <m:sup>
            <m:r>
              <m:rPr>
                <m:sty m:val="b"/>
              </m:rPr>
              <w:rPr>
                <w:rFonts w:ascii="Cambria Math"/>
                <w:lang w:val="en-US"/>
              </w:rPr>
              <m:t>TBG,max</m:t>
            </m:r>
            <m:ctrlPr>
              <w:rPr>
                <w:rFonts w:ascii="Cambria Math" w:hAnsi="Cambria Math"/>
              </w:rPr>
            </m:ctrlPr>
          </m:sup>
        </m:sSubSup>
      </m:oMath>
      <w:r w:rsidRPr="00B27E56">
        <w:t xml:space="preserve"> HARQ-ACK information bits</w:t>
      </w:r>
      <w:r>
        <w:t xml:space="preserve"> each</w:t>
      </w:r>
      <w:r w:rsidR="007A2E6E">
        <w:t xml:space="preserve"> of </w:t>
      </w:r>
      <w:r w:rsidR="00B32449">
        <w:t>which</w:t>
      </w:r>
      <w:r w:rsidR="007A2E6E">
        <w:t xml:space="preserve"> is</w:t>
      </w:r>
      <w:r>
        <w:t xml:space="preserve"> set to NACK for a disabled TB</w:t>
      </w:r>
      <w:r>
        <w:rPr>
          <w:rFonts w:cs="Times New Roman"/>
          <w:szCs w:val="20"/>
        </w:rPr>
        <w:t xml:space="preserve"> of a DL scheduling DCI</w:t>
      </w:r>
      <w:r w:rsidRPr="00735297">
        <w:rPr>
          <w:rFonts w:cs="Times New Roman"/>
          <w:szCs w:val="20"/>
        </w:rPr>
        <w:t>.</w:t>
      </w:r>
    </w:p>
    <w:p w14:paraId="3AD53287" w14:textId="30513537" w:rsidR="00F3192E" w:rsidRDefault="0026050D" w:rsidP="00C05C1F">
      <w:pPr>
        <w:widowControl/>
        <w:spacing w:after="120"/>
        <w:rPr>
          <w:rFonts w:cs="Times New Roman"/>
          <w:kern w:val="0"/>
          <w:szCs w:val="20"/>
        </w:rPr>
      </w:pPr>
      <w:r>
        <w:rPr>
          <w:rFonts w:cs="Times New Roman" w:hint="eastAsia"/>
          <w:kern w:val="0"/>
          <w:szCs w:val="20"/>
        </w:rPr>
        <w:t>B</w:t>
      </w:r>
      <w:r>
        <w:rPr>
          <w:rFonts w:cs="Times New Roman"/>
          <w:kern w:val="0"/>
          <w:szCs w:val="20"/>
        </w:rPr>
        <w:t xml:space="preserve">ased on the above two proposals, </w:t>
      </w:r>
      <w:r w:rsidR="006A393A">
        <w:rPr>
          <w:rFonts w:cs="Times New Roman" w:hint="eastAsia"/>
          <w:kern w:val="0"/>
          <w:szCs w:val="20"/>
        </w:rPr>
        <w:t>a</w:t>
      </w:r>
      <w:r w:rsidR="006A393A">
        <w:rPr>
          <w:rFonts w:cs="Times New Roman"/>
          <w:kern w:val="0"/>
          <w:szCs w:val="20"/>
        </w:rPr>
        <w:t xml:space="preserve"> corresponding draft CR is provided in</w:t>
      </w:r>
      <w:r w:rsidR="005076D2">
        <w:rPr>
          <w:rFonts w:cs="Times New Roman"/>
          <w:kern w:val="0"/>
          <w:szCs w:val="20"/>
        </w:rPr>
        <w:t xml:space="preserve"> </w:t>
      </w:r>
      <w:r w:rsidR="005076D2">
        <w:rPr>
          <w:rFonts w:cs="Times New Roman"/>
          <w:kern w:val="0"/>
          <w:szCs w:val="20"/>
        </w:rPr>
        <w:fldChar w:fldCharType="begin"/>
      </w:r>
      <w:r w:rsidR="005076D2">
        <w:rPr>
          <w:rFonts w:cs="Times New Roman"/>
          <w:kern w:val="0"/>
          <w:szCs w:val="20"/>
        </w:rPr>
        <w:instrText xml:space="preserve"> REF _Ref110514907 \n \h </w:instrText>
      </w:r>
      <w:r w:rsidR="005076D2">
        <w:rPr>
          <w:rFonts w:cs="Times New Roman"/>
          <w:kern w:val="0"/>
          <w:szCs w:val="20"/>
        </w:rPr>
      </w:r>
      <w:r w:rsidR="005076D2">
        <w:rPr>
          <w:rFonts w:cs="Times New Roman"/>
          <w:kern w:val="0"/>
          <w:szCs w:val="20"/>
        </w:rPr>
        <w:fldChar w:fldCharType="separate"/>
      </w:r>
      <w:r w:rsidR="005076D2">
        <w:rPr>
          <w:rFonts w:cs="Times New Roman"/>
          <w:kern w:val="0"/>
          <w:szCs w:val="20"/>
        </w:rPr>
        <w:t>[2]</w:t>
      </w:r>
      <w:r w:rsidR="005076D2">
        <w:rPr>
          <w:rFonts w:cs="Times New Roman"/>
          <w:kern w:val="0"/>
          <w:szCs w:val="20"/>
        </w:rPr>
        <w:fldChar w:fldCharType="end"/>
      </w:r>
      <w:r>
        <w:rPr>
          <w:rFonts w:cs="Times New Roman"/>
          <w:kern w:val="0"/>
          <w:szCs w:val="20"/>
        </w:rPr>
        <w:t>.</w:t>
      </w:r>
    </w:p>
    <w:p w14:paraId="2ED9C606" w14:textId="323B6A69" w:rsidR="007E7236" w:rsidRPr="00CD14C3" w:rsidRDefault="007E7236" w:rsidP="007E7236">
      <w:pPr>
        <w:pStyle w:val="2"/>
        <w:numPr>
          <w:ilvl w:val="1"/>
          <w:numId w:val="2"/>
        </w:numPr>
        <w:spacing w:before="180"/>
        <w:rPr>
          <w:rFonts w:eastAsia="宋体"/>
          <w:b w:val="0"/>
          <w:sz w:val="30"/>
          <w:szCs w:val="30"/>
        </w:rPr>
      </w:pPr>
      <w:r>
        <w:rPr>
          <w:rFonts w:eastAsia="宋体"/>
          <w:b w:val="0"/>
          <w:sz w:val="30"/>
          <w:szCs w:val="30"/>
        </w:rPr>
        <w:lastRenderedPageBreak/>
        <w:t>T</w:t>
      </w:r>
      <w:r w:rsidRPr="007E7236">
        <w:rPr>
          <w:rFonts w:eastAsia="宋体"/>
          <w:b w:val="0"/>
          <w:sz w:val="30"/>
          <w:szCs w:val="30"/>
        </w:rPr>
        <w:t xml:space="preserve">ime domain bundling </w:t>
      </w:r>
      <w:r>
        <w:rPr>
          <w:rFonts w:eastAsia="宋体"/>
          <w:b w:val="0"/>
          <w:sz w:val="30"/>
          <w:szCs w:val="30"/>
        </w:rPr>
        <w:t xml:space="preserve">in conjunction </w:t>
      </w:r>
      <w:r w:rsidRPr="007E7236">
        <w:rPr>
          <w:rFonts w:eastAsia="宋体"/>
          <w:b w:val="0"/>
          <w:sz w:val="30"/>
          <w:szCs w:val="30"/>
        </w:rPr>
        <w:t>with spatial bundling</w:t>
      </w:r>
    </w:p>
    <w:p w14:paraId="627E10C4" w14:textId="36FFCDE8" w:rsidR="00F725E3" w:rsidRDefault="00F725E3" w:rsidP="00F725E3">
      <w:pPr>
        <w:widowControl/>
        <w:spacing w:after="120"/>
        <w:rPr>
          <w:rFonts w:cs="Times New Roman"/>
          <w:kern w:val="0"/>
          <w:szCs w:val="20"/>
        </w:rPr>
      </w:pPr>
      <w:r>
        <w:rPr>
          <w:rFonts w:cs="Times New Roman"/>
          <w:kern w:val="0"/>
          <w:szCs w:val="20"/>
        </w:rPr>
        <w:t xml:space="preserve">In </w:t>
      </w:r>
      <w:r w:rsidR="00E154DE">
        <w:rPr>
          <w:rFonts w:cs="Times New Roman"/>
          <w:kern w:val="0"/>
          <w:szCs w:val="20"/>
        </w:rPr>
        <w:fldChar w:fldCharType="begin"/>
      </w:r>
      <w:r w:rsidR="00E154DE">
        <w:rPr>
          <w:rFonts w:cs="Times New Roman"/>
          <w:kern w:val="0"/>
          <w:szCs w:val="20"/>
        </w:rPr>
        <w:instrText xml:space="preserve"> REF _Ref92384732 \n \h </w:instrText>
      </w:r>
      <w:r w:rsidR="00E154DE">
        <w:rPr>
          <w:rFonts w:cs="Times New Roman"/>
          <w:kern w:val="0"/>
          <w:szCs w:val="20"/>
        </w:rPr>
      </w:r>
      <w:r w:rsidR="00E154DE">
        <w:rPr>
          <w:rFonts w:cs="Times New Roman"/>
          <w:kern w:val="0"/>
          <w:szCs w:val="20"/>
        </w:rPr>
        <w:fldChar w:fldCharType="separate"/>
      </w:r>
      <w:r w:rsidR="00E154DE">
        <w:rPr>
          <w:rFonts w:cs="Times New Roman"/>
          <w:kern w:val="0"/>
          <w:szCs w:val="20"/>
        </w:rPr>
        <w:t>[1]</w:t>
      </w:r>
      <w:r w:rsidR="00E154DE">
        <w:rPr>
          <w:rFonts w:cs="Times New Roman"/>
          <w:kern w:val="0"/>
          <w:szCs w:val="20"/>
        </w:rPr>
        <w:fldChar w:fldCharType="end"/>
      </w:r>
      <w:r w:rsidR="004E524E">
        <w:rPr>
          <w:rFonts w:cs="Times New Roman"/>
          <w:kern w:val="0"/>
          <w:szCs w:val="20"/>
        </w:rPr>
        <w:t xml:space="preserve">, time domain bundling operation for Type-2 codebook is divided further into two cases, i.e. the case when </w:t>
      </w:r>
      <w:proofErr w:type="spellStart"/>
      <w:r w:rsidR="004E524E" w:rsidRPr="00435CFD">
        <w:rPr>
          <w:i/>
        </w:rPr>
        <w:t>harq</w:t>
      </w:r>
      <w:proofErr w:type="spellEnd"/>
      <w:r w:rsidR="004E524E" w:rsidRPr="00435CFD">
        <w:rPr>
          <w:i/>
        </w:rPr>
        <w:t>-ACK-</w:t>
      </w:r>
      <w:proofErr w:type="spellStart"/>
      <w:r w:rsidR="004E524E" w:rsidRPr="00435CFD">
        <w:rPr>
          <w:i/>
        </w:rPr>
        <w:t>SpatialBundlingPUCCH</w:t>
      </w:r>
      <w:proofErr w:type="spellEnd"/>
      <w:r w:rsidR="004E524E">
        <w:rPr>
          <w:rFonts w:cs="Times New Roman"/>
          <w:kern w:val="0"/>
          <w:szCs w:val="20"/>
        </w:rPr>
        <w:t xml:space="preserve"> is not provided and the case when </w:t>
      </w:r>
      <w:proofErr w:type="spellStart"/>
      <w:r w:rsidR="004E524E" w:rsidRPr="00435CFD">
        <w:rPr>
          <w:i/>
        </w:rPr>
        <w:t>harq</w:t>
      </w:r>
      <w:proofErr w:type="spellEnd"/>
      <w:r w:rsidR="004E524E" w:rsidRPr="00435CFD">
        <w:rPr>
          <w:i/>
        </w:rPr>
        <w:t>-ACK-</w:t>
      </w:r>
      <w:proofErr w:type="spellStart"/>
      <w:r w:rsidR="004E524E" w:rsidRPr="00435CFD">
        <w:rPr>
          <w:i/>
        </w:rPr>
        <w:t>SpatialBundlingPUCCH</w:t>
      </w:r>
      <w:proofErr w:type="spellEnd"/>
      <w:r w:rsidR="004E524E">
        <w:rPr>
          <w:rFonts w:cs="Times New Roman"/>
          <w:kern w:val="0"/>
          <w:szCs w:val="20"/>
        </w:rPr>
        <w:t xml:space="preserve"> is provided. For the latter case, the corresponding description is</w:t>
      </w:r>
      <w:r>
        <w:rPr>
          <w:rFonts w:cs="Times New Roman"/>
          <w:kern w:val="0"/>
          <w:szCs w:val="20"/>
        </w:rPr>
        <w:t xml:space="preserve"> </w:t>
      </w:r>
      <w:r w:rsidR="00F73A16">
        <w:rPr>
          <w:rFonts w:cs="Times New Roman"/>
          <w:kern w:val="0"/>
          <w:szCs w:val="20"/>
        </w:rPr>
        <w:t xml:space="preserve">referred </w:t>
      </w:r>
      <w:r>
        <w:rPr>
          <w:rFonts w:cs="Times New Roman"/>
          <w:kern w:val="0"/>
          <w:szCs w:val="20"/>
        </w:rPr>
        <w:t>as below.</w:t>
      </w:r>
    </w:p>
    <w:p w14:paraId="7EC33C1D" w14:textId="779F421B" w:rsidR="008F06B0" w:rsidRDefault="008F06B0" w:rsidP="00C05C1F">
      <w:pPr>
        <w:widowControl/>
        <w:spacing w:after="120"/>
        <w:rPr>
          <w:rFonts w:cs="Times New Roman"/>
          <w:kern w:val="0"/>
          <w:szCs w:val="20"/>
        </w:rPr>
      </w:pPr>
      <w:r>
        <w:rPr>
          <w:rFonts w:eastAsia="宋体"/>
          <w:noProof/>
        </w:rPr>
        <mc:AlternateContent>
          <mc:Choice Requires="wps">
            <w:drawing>
              <wp:inline distT="0" distB="0" distL="0" distR="0" wp14:anchorId="33B8087C" wp14:editId="02390D7F">
                <wp:extent cx="5755005" cy="3538330"/>
                <wp:effectExtent l="0" t="0" r="17145" b="2413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3538330"/>
                        </a:xfrm>
                        <a:prstGeom prst="rect">
                          <a:avLst/>
                        </a:prstGeom>
                        <a:solidFill>
                          <a:srgbClr val="FFFFFF"/>
                        </a:solidFill>
                        <a:ln w="9525">
                          <a:solidFill>
                            <a:srgbClr val="000000"/>
                          </a:solidFill>
                          <a:miter lim="800000"/>
                          <a:headEnd/>
                          <a:tailEnd/>
                        </a:ln>
                      </wps:spPr>
                      <wps:txbx>
                        <w:txbxContent>
                          <w:p w14:paraId="0780F059" w14:textId="7ACB7083" w:rsidR="000A7715" w:rsidRPr="00D05745" w:rsidRDefault="000A7715" w:rsidP="008F06B0">
                            <w:pPr>
                              <w:widowControl/>
                              <w:jc w:val="left"/>
                              <w:rPr>
                                <w:rFonts w:ascii="Arial" w:eastAsia="Batang" w:hAnsi="Arial" w:cs="Arial"/>
                                <w:iCs/>
                                <w:kern w:val="0"/>
                                <w:sz w:val="24"/>
                                <w:szCs w:val="24"/>
                                <w:lang w:val="en-GB" w:eastAsia="x-none"/>
                              </w:rPr>
                            </w:pPr>
                            <w:r w:rsidRPr="00D05745">
                              <w:rPr>
                                <w:rFonts w:ascii="Arial" w:hAnsi="Arial" w:cs="Arial"/>
                                <w:sz w:val="24"/>
                                <w:szCs w:val="24"/>
                              </w:rPr>
                              <w:t>9.1.3.1</w:t>
                            </w:r>
                            <w:r w:rsidRPr="00D05745">
                              <w:rPr>
                                <w:rFonts w:ascii="Arial" w:hAnsi="Arial" w:cs="Arial"/>
                                <w:sz w:val="24"/>
                                <w:szCs w:val="24"/>
                              </w:rPr>
                              <w:tab/>
                              <w:t>Type-2 HARQ-ACK codebook in physical uplink control channel</w:t>
                            </w:r>
                          </w:p>
                          <w:p w14:paraId="3C206BFB" w14:textId="77777777" w:rsidR="000A7715" w:rsidRPr="00D05745" w:rsidRDefault="000A7715" w:rsidP="008F06B0">
                            <w:pPr>
                              <w:widowControl/>
                              <w:jc w:val="left"/>
                              <w:rPr>
                                <w:rFonts w:ascii="Times" w:hAnsi="Times" w:cs="Times New Roman"/>
                                <w:iCs/>
                                <w:kern w:val="0"/>
                                <w:szCs w:val="24"/>
                                <w:lang w:val="en-GB"/>
                              </w:rPr>
                            </w:pPr>
                            <w:r>
                              <w:rPr>
                                <w:rFonts w:ascii="Times" w:hAnsi="Times" w:cs="Times New Roman"/>
                                <w:iCs/>
                                <w:kern w:val="0"/>
                                <w:szCs w:val="24"/>
                                <w:lang w:val="en-GB"/>
                              </w:rPr>
                              <w:t>…</w:t>
                            </w:r>
                          </w:p>
                          <w:p w14:paraId="42DB4B15" w14:textId="77777777" w:rsidR="000A7715" w:rsidRDefault="000A7715" w:rsidP="008F06B0">
                            <w:r w:rsidRPr="00B27E56">
                              <w:t xml:space="preserve">If a UE is provided </w:t>
                            </w:r>
                            <w:proofErr w:type="spellStart"/>
                            <w:r w:rsidRPr="00B27E56">
                              <w:rPr>
                                <w:i/>
                                <w:iCs/>
                              </w:rPr>
                              <w:t>numberOfHARQ-BundlingGroups</w:t>
                            </w:r>
                            <w:proofErr w:type="spellEnd"/>
                            <w:r w:rsidRPr="00B27E56">
                              <w:t xml:space="preserve"> </w:t>
                            </w:r>
                            <w:r>
                              <w:t xml:space="preserve">and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rPr>
                              <w:t xml:space="preserve"> </w:t>
                            </w:r>
                            <w:r w:rsidRPr="00B27E56">
                              <w:t>for a serving cell</w:t>
                            </w:r>
                            <w:r>
                              <w:t xml:space="preserve"> </w:t>
                            </w:r>
                            <m:oMath>
                              <m:r>
                                <w:rPr>
                                  <w:rFonts w:ascii="Cambria Math" w:hAnsi="Cambria Math"/>
                                </w:rPr>
                                <m:t>c</m:t>
                              </m:r>
                            </m:oMath>
                            <w:r w:rsidRPr="00B27E56">
                              <w:t xml:space="preserve">, the UE generates HARQ-ACK information </w:t>
                            </w:r>
                            <w:r>
                              <w:t>over</w:t>
                            </w:r>
                            <w:r w:rsidRPr="00B27E56">
                              <w:t xml:space="preserve"> PDSCH reception </w:t>
                            </w:r>
                            <w:r>
                              <w:t>groups for PDSCH receptions scheduled by a DCI format on the serving cell</w:t>
                            </w:r>
                            <w:r w:rsidRPr="00B27E56">
                              <w:t xml:space="preserve"> </w:t>
                            </w:r>
                            <m:oMath>
                              <m:r>
                                <w:rPr>
                                  <w:rFonts w:ascii="Cambria Math" w:hAnsi="Cambria Math"/>
                                </w:rPr>
                                <m:t>c</m:t>
                              </m:r>
                            </m:oMath>
                            <w:r w:rsidRPr="00B27E56">
                              <w:t xml:space="preserve"> where</w:t>
                            </w:r>
                            <w:r>
                              <w:t xml:space="preserve"> </w:t>
                            </w:r>
                            <w:r w:rsidRPr="00B27E56">
                              <w:t xml:space="preserve">a maximum number </w:t>
                            </w:r>
                            <w:r>
                              <w:t>of</w:t>
                            </w:r>
                            <w:r w:rsidRPr="00B27E56">
                              <w:t xml:space="preserve"> </w:t>
                            </w:r>
                            <w:r>
                              <w:t xml:space="preserve">PDSCH reception groups,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t xml:space="preserve">, </w:t>
                            </w:r>
                            <w:r w:rsidRPr="00B27E56">
                              <w:t>is provided</w:t>
                            </w:r>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the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w:t>
                            </w:r>
                            <w:r>
                              <w:t xml:space="preserve"> For a PDSCH reception group associated with at least one PDSCH that does not overlap with an</w:t>
                            </w:r>
                            <w:r w:rsidRPr="00B7372F">
                              <w:t xml:space="preserve">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if provided, the</w:t>
                            </w:r>
                            <w:r>
                              <w:t xml:space="preserve"> UE </w:t>
                            </w:r>
                            <w:r w:rsidRPr="00B7372F">
                              <w:t xml:space="preserve">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are correctly received</w:t>
                            </w:r>
                            <w:r w:rsidRPr="00B7372F">
                              <w:t>.</w:t>
                            </w:r>
                            <w:r>
                              <w:t xml:space="preserve"> </w:t>
                            </w:r>
                            <w:r w:rsidRPr="00B7372F">
                              <w:t xml:space="preserve">For </w:t>
                            </w:r>
                            <w:r>
                              <w:t>a PDSCH reception group 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w:t>
                            </w:r>
                            <w:r>
                              <w:t>PDSCH reception group</w:t>
                            </w:r>
                            <w:r w:rsidRPr="00B7372F">
                              <w:t>.</w:t>
                            </w:r>
                          </w:p>
                          <w:p w14:paraId="71DC48BB" w14:textId="77777777" w:rsidR="000A7715" w:rsidRPr="003626F5" w:rsidRDefault="000A7715" w:rsidP="008F06B0">
                            <w:pPr>
                              <w:widowControl/>
                              <w:autoSpaceDE w:val="0"/>
                              <w:autoSpaceDN w:val="0"/>
                            </w:pPr>
                            <w:r>
                              <w:t>…</w:t>
                            </w:r>
                          </w:p>
                        </w:txbxContent>
                      </wps:txbx>
                      <wps:bodyPr rot="0" vert="horz" wrap="square" lIns="91440" tIns="45720" rIns="91440" bIns="45720" anchor="t" anchorCtr="0" upright="1">
                        <a:noAutofit/>
                      </wps:bodyPr>
                    </wps:wsp>
                  </a:graphicData>
                </a:graphic>
              </wp:inline>
            </w:drawing>
          </mc:Choice>
          <mc:Fallback>
            <w:pict>
              <v:shape w14:anchorId="33B8087C" id="文本框 11" o:spid="_x0000_s1027" type="#_x0000_t202" style="width:453.15pt;height:27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">
                <v:textbox>
                  <w:txbxContent>
                    <w:p w14:paraId="0780F059" w14:textId="7ACB7083" w:rsidR="000A7715" w:rsidRPr="00D05745" w:rsidRDefault="000A7715" w:rsidP="008F06B0">
                      <w:pPr>
                        <w:widowControl/>
                        <w:jc w:val="left"/>
                        <w:rPr>
                          <w:rFonts w:ascii="Arial" w:eastAsia="Batang" w:hAnsi="Arial" w:cs="Arial"/>
                          <w:iCs/>
                          <w:kern w:val="0"/>
                          <w:sz w:val="24"/>
                          <w:szCs w:val="24"/>
                          <w:lang w:val="en-GB" w:eastAsia="x-none"/>
                        </w:rPr>
                      </w:pPr>
                      <w:r w:rsidRPr="00D05745">
                        <w:rPr>
                          <w:rFonts w:ascii="Arial" w:hAnsi="Arial" w:cs="Arial"/>
                          <w:sz w:val="24"/>
                          <w:szCs w:val="24"/>
                        </w:rPr>
                        <w:t>9.1.3.1</w:t>
                      </w:r>
                      <w:r w:rsidRPr="00D05745">
                        <w:rPr>
                          <w:rFonts w:ascii="Arial" w:hAnsi="Arial" w:cs="Arial"/>
                          <w:sz w:val="24"/>
                          <w:szCs w:val="24"/>
                        </w:rPr>
                        <w:tab/>
                        <w:t>Type-2 HARQ-ACK codebook in physical uplink control channel</w:t>
                      </w:r>
                    </w:p>
                    <w:p w14:paraId="3C206BFB" w14:textId="77777777" w:rsidR="000A7715" w:rsidRPr="00D05745" w:rsidRDefault="000A7715" w:rsidP="008F06B0">
                      <w:pPr>
                        <w:widowControl/>
                        <w:jc w:val="left"/>
                        <w:rPr>
                          <w:rFonts w:ascii="Times" w:hAnsi="Times" w:cs="Times New Roman"/>
                          <w:iCs/>
                          <w:kern w:val="0"/>
                          <w:szCs w:val="24"/>
                          <w:lang w:val="en-GB"/>
                        </w:rPr>
                      </w:pPr>
                      <w:r>
                        <w:rPr>
                          <w:rFonts w:ascii="Times" w:hAnsi="Times" w:cs="Times New Roman"/>
                          <w:iCs/>
                          <w:kern w:val="0"/>
                          <w:szCs w:val="24"/>
                          <w:lang w:val="en-GB"/>
                        </w:rPr>
                        <w:t>…</w:t>
                      </w:r>
                    </w:p>
                    <w:p w14:paraId="42DB4B15" w14:textId="77777777" w:rsidR="000A7715" w:rsidRDefault="000A7715" w:rsidP="008F06B0">
                      <w:r w:rsidRPr="00B27E56">
                        <w:t xml:space="preserve">If a UE is provided </w:t>
                      </w:r>
                      <w:proofErr w:type="spellStart"/>
                      <w:r w:rsidRPr="00B27E56">
                        <w:rPr>
                          <w:i/>
                          <w:iCs/>
                        </w:rPr>
                        <w:t>numberOfHARQ-BundlingGroups</w:t>
                      </w:r>
                      <w:proofErr w:type="spellEnd"/>
                      <w:r w:rsidRPr="00B27E56">
                        <w:t xml:space="preserve"> </w:t>
                      </w:r>
                      <w:r>
                        <w:t xml:space="preserve">and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rPr>
                        <w:t xml:space="preserve"> </w:t>
                      </w:r>
                      <w:r w:rsidRPr="00B27E56">
                        <w:t>for a serving cell</w:t>
                      </w:r>
                      <w:r>
                        <w:t xml:space="preserve"> </w:t>
                      </w:r>
                      <m:oMath>
                        <m:r>
                          <w:rPr>
                            <w:rFonts w:ascii="Cambria Math" w:hAnsi="Cambria Math"/>
                          </w:rPr>
                          <m:t>c</m:t>
                        </m:r>
                      </m:oMath>
                      <w:r w:rsidRPr="00B27E56">
                        <w:t xml:space="preserve">, the UE generates HARQ-ACK information </w:t>
                      </w:r>
                      <w:r>
                        <w:t>over</w:t>
                      </w:r>
                      <w:r w:rsidRPr="00B27E56">
                        <w:t xml:space="preserve"> PDSCH reception </w:t>
                      </w:r>
                      <w:r>
                        <w:t>groups for PDSCH receptions scheduled by a DCI format on the serving cell</w:t>
                      </w:r>
                      <w:r w:rsidRPr="00B27E56">
                        <w:t xml:space="preserve"> </w:t>
                      </w:r>
                      <m:oMath>
                        <m:r>
                          <w:rPr>
                            <w:rFonts w:ascii="Cambria Math" w:hAnsi="Cambria Math"/>
                          </w:rPr>
                          <m:t>c</m:t>
                        </m:r>
                      </m:oMath>
                      <w:r w:rsidRPr="00B27E56">
                        <w:t xml:space="preserve"> where</w:t>
                      </w:r>
                      <w:r>
                        <w:t xml:space="preserve"> </w:t>
                      </w:r>
                      <w:r w:rsidRPr="00B27E56">
                        <w:t xml:space="preserve">a maximum number </w:t>
                      </w:r>
                      <w:r>
                        <w:t>of</w:t>
                      </w:r>
                      <w:r w:rsidRPr="00B27E56">
                        <w:t xml:space="preserve"> </w:t>
                      </w:r>
                      <w:r>
                        <w:t xml:space="preserve">PDSCH reception groups,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t xml:space="preserve">, </w:t>
                      </w:r>
                      <w:r w:rsidRPr="00B27E56">
                        <w:t>is provided</w:t>
                      </w:r>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the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w:t>
                      </w:r>
                      <w:r>
                        <w:t xml:space="preserve"> For a PDSCH reception group associated with at least one PDSCH that does not overlap with an</w:t>
                      </w:r>
                      <w:r w:rsidRPr="00B7372F">
                        <w:t xml:space="preserve">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if provided, the</w:t>
                      </w:r>
                      <w:r>
                        <w:t xml:space="preserve"> UE </w:t>
                      </w:r>
                      <w:r w:rsidRPr="00B7372F">
                        <w:t xml:space="preserve">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are correctly received</w:t>
                      </w:r>
                      <w:r w:rsidRPr="00B7372F">
                        <w:t>.</w:t>
                      </w:r>
                      <w:r>
                        <w:t xml:space="preserve"> </w:t>
                      </w:r>
                      <w:r w:rsidRPr="00B7372F">
                        <w:t xml:space="preserve">For </w:t>
                      </w:r>
                      <w:r>
                        <w:t>a PDSCH reception group 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w:t>
                      </w:r>
                      <w:r>
                        <w:t>PDSCH reception group</w:t>
                      </w:r>
                      <w:r w:rsidRPr="00B7372F">
                        <w:t>.</w:t>
                      </w:r>
                    </w:p>
                    <w:p w14:paraId="71DC48BB" w14:textId="77777777" w:rsidR="000A7715" w:rsidRPr="003626F5" w:rsidRDefault="000A7715" w:rsidP="008F06B0">
                      <w:pPr>
                        <w:widowControl/>
                        <w:autoSpaceDE w:val="0"/>
                        <w:autoSpaceDN w:val="0"/>
                      </w:pPr>
                      <w:r>
                        <w:t>…</w:t>
                      </w:r>
                    </w:p>
                  </w:txbxContent>
                </v:textbox>
                <w10:anchorlock/>
              </v:shape>
            </w:pict>
          </mc:Fallback>
        </mc:AlternateContent>
      </w:r>
    </w:p>
    <w:p w14:paraId="7B6BD2D9" w14:textId="2D1127A6" w:rsidR="00891E74" w:rsidRDefault="00B468DC" w:rsidP="00C05C1F">
      <w:pPr>
        <w:widowControl/>
        <w:spacing w:after="120"/>
        <w:rPr>
          <w:rFonts w:cs="Times New Roman"/>
          <w:kern w:val="0"/>
          <w:szCs w:val="20"/>
        </w:rPr>
      </w:pPr>
      <w:r>
        <w:rPr>
          <w:rFonts w:cs="Times New Roman" w:hint="eastAsia"/>
          <w:kern w:val="0"/>
          <w:szCs w:val="20"/>
        </w:rPr>
        <w:t>B</w:t>
      </w:r>
      <w:r>
        <w:rPr>
          <w:rFonts w:cs="Times New Roman"/>
          <w:kern w:val="0"/>
          <w:szCs w:val="20"/>
        </w:rPr>
        <w:t>ased on the above description, the UE refer</w:t>
      </w:r>
      <w:r w:rsidR="007A2E6E">
        <w:rPr>
          <w:rFonts w:cs="Times New Roman"/>
          <w:kern w:val="0"/>
          <w:szCs w:val="20"/>
        </w:rPr>
        <w:t>s</w:t>
      </w:r>
      <w:r>
        <w:rPr>
          <w:rFonts w:cs="Times New Roman"/>
          <w:kern w:val="0"/>
          <w:szCs w:val="20"/>
        </w:rPr>
        <w:t xml:space="preserve"> to </w:t>
      </w:r>
      <w:r w:rsidR="00366DDB">
        <w:t xml:space="preserve">the description in clause 9.1.1 </w:t>
      </w:r>
      <w:r w:rsidR="00366DDB" w:rsidRPr="00B27E56">
        <w:t xml:space="preserve">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00366DDB"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00366DDB">
        <w:t xml:space="preserve"> to generate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00366DDB" w:rsidRPr="00B27E56">
        <w:t xml:space="preserve"> HARQ-ACK information bits for </w:t>
      </w:r>
      <w:r w:rsidR="00366DDB">
        <w:t xml:space="preserve">the </w:t>
      </w:r>
      <w:r w:rsidR="00366DDB">
        <w:rPr>
          <w:rFonts w:hint="eastAsia"/>
        </w:rPr>
        <w:t>DL</w:t>
      </w:r>
      <w:r w:rsidR="00366DDB">
        <w:t xml:space="preserve"> scheduling DCI. </w:t>
      </w:r>
      <w:r w:rsidR="004A65F6">
        <w:t>However</w:t>
      </w:r>
      <w:r w:rsidR="00366DDB">
        <w:t xml:space="preserve">, in clause 9.1.1 there is no description about spatial bundling, e.g. </w:t>
      </w:r>
      <w:r w:rsidR="00366DDB" w:rsidRPr="00B27E56">
        <w:t xml:space="preserve">binary AND operation of the HARQ-ACK information bits corresponding to first and second transport blocks of </w:t>
      </w:r>
      <w:r w:rsidR="00366DDB">
        <w:t xml:space="preserve">all PDSCH receptions in a PDSCH reception group. Therefore, there may be ambiguity </w:t>
      </w:r>
      <w:r w:rsidR="007A2E6E">
        <w:t xml:space="preserve">on </w:t>
      </w:r>
      <w:r w:rsidR="00366DDB">
        <w:t>how to perform spatial bundling when time domain bundling is configured for Type-2 codebook.</w:t>
      </w:r>
    </w:p>
    <w:p w14:paraId="4D022ADF" w14:textId="5C7FA860" w:rsidR="00D26CA6" w:rsidRDefault="00D26CA6" w:rsidP="00C05C1F">
      <w:pPr>
        <w:widowControl/>
        <w:spacing w:after="120"/>
        <w:rPr>
          <w:rFonts w:eastAsia="宋体"/>
          <w:iCs/>
        </w:rPr>
      </w:pPr>
      <w:r>
        <w:rPr>
          <w:rFonts w:eastAsia="宋体"/>
          <w:iCs/>
        </w:rPr>
        <w:t xml:space="preserve">It seems that we have a common understanding on the UE behavior. Namely, when two-codeword transmission is configured for DL, as well as multi-PDSCH scheduling with time domain bundling, to generate </w:t>
      </w:r>
      <m:oMath>
        <m:sSubSup>
          <m:sSubSupPr>
            <m:ctrlPr>
              <w:rPr>
                <w:rFonts w:ascii="Cambria Math" w:eastAsia="宋体" w:hAnsi="Cambria Math"/>
                <w:i/>
              </w:rPr>
            </m:ctrlPr>
          </m:sSubSupPr>
          <m:e>
            <m:r>
              <w:rPr>
                <w:rFonts w:ascii="Cambria Math" w:eastAsia="宋体"/>
              </w:rPr>
              <m:t>N</m:t>
            </m:r>
          </m:e>
          <m:sub>
            <m:r>
              <m:rPr>
                <m:sty m:val="p"/>
              </m:rPr>
              <w:rPr>
                <w:rFonts w:ascii="Cambria Math" w:eastAsia="宋体"/>
              </w:rPr>
              <m:t>HARQ</m:t>
            </m:r>
            <m:r>
              <m:rPr>
                <m:sty m:val="p"/>
              </m:rPr>
              <w:rPr>
                <w:rFonts w:ascii="Cambria Math" w:eastAsia="宋体"/>
              </w:rPr>
              <m:t>-</m:t>
            </m:r>
            <m:r>
              <m:rPr>
                <m:sty m:val="p"/>
              </m:rPr>
              <w:rPr>
                <w:rFonts w:ascii="Cambria Math" w:eastAsia="宋体"/>
              </w:rPr>
              <m:t>ACK,</m:t>
            </m:r>
            <m:r>
              <w:rPr>
                <w:rFonts w:ascii="Cambria Math" w:eastAsia="宋体"/>
              </w:rPr>
              <m:t>c</m:t>
            </m:r>
            <m:ctrlPr>
              <w:rPr>
                <w:rFonts w:ascii="Cambria Math" w:eastAsia="宋体" w:hAnsi="Cambria Math"/>
              </w:rPr>
            </m:ctrlPr>
          </m:sub>
          <m:sup>
            <m:r>
              <m:rPr>
                <m:sty m:val="p"/>
              </m:rPr>
              <w:rPr>
                <w:rFonts w:ascii="Cambria Math" w:eastAsia="宋体"/>
              </w:rPr>
              <m:t>TBG,max</m:t>
            </m:r>
            <m:ctrlPr>
              <w:rPr>
                <w:rFonts w:ascii="Cambria Math" w:eastAsia="宋体" w:hAnsi="Cambria Math"/>
              </w:rPr>
            </m:ctrlPr>
          </m:sup>
        </m:sSubSup>
      </m:oMath>
      <w:r>
        <w:rPr>
          <w:rFonts w:eastAsia="宋体"/>
        </w:rPr>
        <w:t xml:space="preserve"> HARQ-ACK information bits for 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rPr>
              <m:t>PDSCH,</m:t>
            </m:r>
            <m:r>
              <w:rPr>
                <w:rFonts w:ascii="Cambria Math" w:eastAsia="宋体"/>
              </w:rPr>
              <m:t>c</m:t>
            </m:r>
          </m:sub>
        </m:sSub>
      </m:oMath>
      <w:r>
        <w:rPr>
          <w:rFonts w:eastAsia="宋体"/>
        </w:rPr>
        <w:t xml:space="preserve"> PDSCH receptions</w:t>
      </w:r>
      <w:r>
        <w:rPr>
          <w:rFonts w:eastAsia="宋体"/>
          <w:iCs/>
        </w:rPr>
        <w:t xml:space="preserve"> scheduled by a single DCI in a Type-2 codebook, spatial bundling operation (i.e., </w:t>
      </w:r>
      <w:r>
        <w:rPr>
          <w:lang w:eastAsia="ko-KR"/>
        </w:rPr>
        <w:t>binary AND operation of the HARQ-ACK information bits corresponding to the first and second transport blocks</w:t>
      </w:r>
      <w:r>
        <w:rPr>
          <w:rFonts w:eastAsia="宋体"/>
          <w:iCs/>
        </w:rPr>
        <w:t xml:space="preserve">) is performed for each PDSCH reception firstly, then followed by grouping </w:t>
      </w:r>
      <w:r>
        <w:rPr>
          <w:rFonts w:eastAsia="宋体"/>
        </w:rPr>
        <w:t xml:space="preserve">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rPr>
              <m:t>PDSCH,</m:t>
            </m:r>
            <m:r>
              <w:rPr>
                <w:rFonts w:ascii="Cambria Math" w:eastAsia="宋体"/>
              </w:rPr>
              <m:t>c</m:t>
            </m:r>
          </m:sub>
        </m:sSub>
      </m:oMath>
      <w:r>
        <w:rPr>
          <w:rFonts w:eastAsia="宋体"/>
        </w:rPr>
        <w:t xml:space="preserve"> PDSCH receptions and </w:t>
      </w:r>
      <w:r>
        <w:rPr>
          <w:rFonts w:eastAsia="宋体"/>
          <w:iCs/>
        </w:rPr>
        <w:t xml:space="preserve">determining HARQ-ACK information bit for each PDSCH reception group (i.e. </w:t>
      </w:r>
      <w:r>
        <w:rPr>
          <w:iCs/>
        </w:rPr>
        <w:t>t</w:t>
      </w:r>
      <w:r>
        <w:t>he UE generates an ACK for the HARQ-ACK information bit of a PDSCH reception group if any PDSCH reception of the PDSCH reception group corresponds to ACK based on the aforementioned spatial bundling operation, and generates a NACK for the HARQ-ACK information bit of a PDSCH reception group if at least one PDSCH reception of the PDSCH reception group corresponds to NACK based on the aforementioned spatial bundling operation.</w:t>
      </w:r>
      <w:r>
        <w:rPr>
          <w:rFonts w:eastAsia="宋体"/>
          <w:iCs/>
        </w:rPr>
        <w:t>).</w:t>
      </w:r>
    </w:p>
    <w:p w14:paraId="286B42C5" w14:textId="4881B643" w:rsidR="007E7680" w:rsidRDefault="007E7680" w:rsidP="00C05C1F">
      <w:pPr>
        <w:widowControl/>
        <w:spacing w:after="120"/>
        <w:rPr>
          <w:rFonts w:cs="Times New Roman"/>
          <w:kern w:val="0"/>
          <w:szCs w:val="20"/>
        </w:rPr>
      </w:pPr>
      <w:r>
        <w:rPr>
          <w:rFonts w:cs="Times New Roman" w:hint="eastAsia"/>
          <w:kern w:val="0"/>
          <w:szCs w:val="20"/>
        </w:rPr>
        <w:t>D</w:t>
      </w:r>
      <w:r>
        <w:rPr>
          <w:rFonts w:cs="Times New Roman"/>
          <w:kern w:val="0"/>
          <w:szCs w:val="20"/>
        </w:rPr>
        <w:t xml:space="preserve">uring RAN1#109-e meeting, whether and how a TP should be introduced to deal with </w:t>
      </w:r>
      <w:r w:rsidR="001645B8">
        <w:rPr>
          <w:rFonts w:cs="Times New Roman"/>
          <w:kern w:val="0"/>
          <w:szCs w:val="20"/>
        </w:rPr>
        <w:t xml:space="preserve">the </w:t>
      </w:r>
      <w:r>
        <w:rPr>
          <w:rFonts w:cs="Times New Roman"/>
          <w:kern w:val="0"/>
          <w:szCs w:val="20"/>
        </w:rPr>
        <w:t xml:space="preserve">above issue is extensively discussed, with no consensus achieved in the end. Based on TS38.213, time domain bundling operation </w:t>
      </w:r>
      <w:r>
        <w:rPr>
          <w:rFonts w:cs="Times New Roman"/>
          <w:kern w:val="0"/>
          <w:szCs w:val="20"/>
        </w:rPr>
        <w:lastRenderedPageBreak/>
        <w:t>may be applied on top of legacy pseudo code, where binary AND operation is specified when spatial bundling is configured, by stating that “</w:t>
      </w:r>
      <w:r w:rsidRPr="00CD14C3">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CD14C3">
        <w:t xml:space="preserve"> serving cells, the UE generates </w:t>
      </w:r>
      <m:oMath>
        <m:sSubSup>
          <m:sSubSupPr>
            <m:ctrlPr>
              <w:rPr>
                <w:rFonts w:ascii="Cambria Math" w:hAnsi="Cambria Math"/>
                <w:i/>
              </w:rPr>
            </m:ctrlPr>
          </m:sSubSupPr>
          <m:e>
            <m:r>
              <w:rPr>
                <w:rFonts w:ascii="Cambria Math" w:hAnsi="Cambria Math"/>
              </w:rPr>
              <m:t>N</m:t>
            </m:r>
          </m:e>
          <m:sub>
            <m:r>
              <m:rPr>
                <m:nor/>
              </m:rPr>
              <w:rPr>
                <w:rFonts w:ascii="Cambria Math" w:hAnsi="Cambria Math"/>
              </w:rPr>
              <m:t>HARQ</m:t>
            </m:r>
            <m:r>
              <m:rPr>
                <m:sty m:val="p"/>
              </m:rPr>
              <w:rPr>
                <w:rFonts w:ascii="Cambria Math" w:hAnsi="Cambria Math"/>
              </w:rPr>
              <m:t>-</m:t>
            </m:r>
            <m:r>
              <m:rPr>
                <m:nor/>
              </m:rPr>
              <w:rPr>
                <w:rFonts w:ascii="Cambria Math" w:hAnsi="Cambria Math"/>
              </w:rPr>
              <m:t>ACK,max</m:t>
            </m:r>
            <m:ctrlPr>
              <w:rPr>
                <w:rFonts w:ascii="Cambria Math" w:hAnsi="Cambria Math"/>
              </w:rPr>
            </m:ctrlPr>
          </m:sub>
          <m:sup>
            <m:r>
              <m:rPr>
                <m:nor/>
              </m:rPr>
              <w:rPr>
                <w:rFonts w:ascii="Cambria Math" w:hAnsi="Cambria Math"/>
              </w:rPr>
              <m:t>TBG,max</m:t>
            </m:r>
            <m:ctrlPr>
              <w:rPr>
                <w:rFonts w:ascii="Cambria Math" w:hAnsi="Cambria Math"/>
              </w:rPr>
            </m:ctrlPr>
          </m:sup>
        </m:sSubSup>
      </m:oMath>
      <w:r w:rsidRPr="00CD14C3">
        <w:t xml:space="preserve"> HARQ-ACK information bits</w:t>
      </w:r>
      <w:r w:rsidRPr="00D26CA6">
        <w:t>,</w:t>
      </w:r>
      <w:r>
        <w:t xml:space="preserve"> …</w:t>
      </w:r>
      <w:r>
        <w:rPr>
          <w:rFonts w:cs="Times New Roman"/>
          <w:kern w:val="0"/>
          <w:szCs w:val="20"/>
        </w:rPr>
        <w:t xml:space="preserve">” in TS38.213, as commented by some company. </w:t>
      </w:r>
      <w:r>
        <w:rPr>
          <w:rFonts w:eastAsia="宋体"/>
          <w:iCs/>
        </w:rPr>
        <w:t>However, we prefer to make the specification clearer by introducing a CR, to avoid potential ambiguity.</w:t>
      </w:r>
      <w:r w:rsidR="001645B8">
        <w:rPr>
          <w:rFonts w:eastAsia="宋体"/>
          <w:iCs/>
        </w:rPr>
        <w:t xml:space="preserve"> As a result, </w:t>
      </w:r>
      <w:r w:rsidR="001645B8">
        <w:rPr>
          <w:rFonts w:cs="Times New Roman" w:hint="eastAsia"/>
          <w:kern w:val="0"/>
          <w:szCs w:val="20"/>
        </w:rPr>
        <w:t>a</w:t>
      </w:r>
      <w:r w:rsidR="001645B8">
        <w:rPr>
          <w:rFonts w:cs="Times New Roman"/>
          <w:kern w:val="0"/>
          <w:szCs w:val="20"/>
        </w:rPr>
        <w:t xml:space="preserve"> corresponding draft CR is provided in </w:t>
      </w:r>
      <w:r w:rsidR="005076D2">
        <w:rPr>
          <w:rFonts w:cs="Times New Roman"/>
          <w:kern w:val="0"/>
          <w:szCs w:val="20"/>
        </w:rPr>
        <w:fldChar w:fldCharType="begin"/>
      </w:r>
      <w:r w:rsidR="005076D2">
        <w:rPr>
          <w:rFonts w:cs="Times New Roman"/>
          <w:kern w:val="0"/>
          <w:szCs w:val="20"/>
        </w:rPr>
        <w:instrText xml:space="preserve"> REF _Ref110514918 \n \h </w:instrText>
      </w:r>
      <w:r w:rsidR="005076D2">
        <w:rPr>
          <w:rFonts w:cs="Times New Roman"/>
          <w:kern w:val="0"/>
          <w:szCs w:val="20"/>
        </w:rPr>
      </w:r>
      <w:r w:rsidR="005076D2">
        <w:rPr>
          <w:rFonts w:cs="Times New Roman"/>
          <w:kern w:val="0"/>
          <w:szCs w:val="20"/>
        </w:rPr>
        <w:fldChar w:fldCharType="separate"/>
      </w:r>
      <w:r w:rsidR="005076D2">
        <w:rPr>
          <w:rFonts w:cs="Times New Roman"/>
          <w:kern w:val="0"/>
          <w:szCs w:val="20"/>
        </w:rPr>
        <w:t>[3]</w:t>
      </w:r>
      <w:r w:rsidR="005076D2">
        <w:rPr>
          <w:rFonts w:cs="Times New Roman"/>
          <w:kern w:val="0"/>
          <w:szCs w:val="20"/>
        </w:rPr>
        <w:fldChar w:fldCharType="end"/>
      </w:r>
      <w:r w:rsidR="001645B8">
        <w:rPr>
          <w:rFonts w:cs="Times New Roman"/>
          <w:kern w:val="0"/>
          <w:szCs w:val="20"/>
        </w:rPr>
        <w:t>.</w:t>
      </w:r>
    </w:p>
    <w:p w14:paraId="1F6AC444" w14:textId="0FD52A3E" w:rsidR="00366DDB" w:rsidRDefault="00366DDB" w:rsidP="00366DDB">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1645B8">
        <w:rPr>
          <w:rFonts w:cs="Times New Roman"/>
          <w:noProof/>
          <w:szCs w:val="20"/>
        </w:rPr>
        <w:t>3</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time domain bundling of Type-2 codebook, clarify the corresponding UE behaviour to generate </w:t>
      </w:r>
      <m:oMath>
        <m:sSubSup>
          <m:sSubSupPr>
            <m:ctrlPr>
              <w:rPr>
                <w:rFonts w:ascii="Cambria Math" w:hAnsi="Cambria Math"/>
                <w:i/>
              </w:rPr>
            </m:ctrlPr>
          </m:sSubSupPr>
          <m:e>
            <m:r>
              <m:rPr>
                <m:sty m:val="bi"/>
              </m:rPr>
              <w:rPr>
                <w:rFonts w:ascii="Cambria Math"/>
              </w:rPr>
              <m:t>N</m:t>
            </m:r>
          </m:e>
          <m:sub>
            <m:r>
              <m:rPr>
                <m:sty m:val="b"/>
              </m:rPr>
              <w:rPr>
                <w:rFonts w:ascii="Cambria Math"/>
              </w:rPr>
              <m:t>HARQ</m:t>
            </m:r>
            <m:r>
              <m:rPr>
                <m:sty m:val="b"/>
              </m:rPr>
              <w:rPr>
                <w:rFonts w:ascii="Cambria Math"/>
              </w:rPr>
              <m:t>-</m:t>
            </m:r>
            <m:r>
              <m:rPr>
                <m:sty m:val="b"/>
              </m:rPr>
              <w:rPr>
                <w:rFonts w:ascii="Cambria Math"/>
              </w:rPr>
              <m:t>ACK,</m:t>
            </m:r>
            <m:r>
              <m:rPr>
                <m:sty m:val="bi"/>
              </m:rPr>
              <w:rPr>
                <w:rFonts w:ascii="Cambria Math"/>
              </w:rPr>
              <m:t>c</m:t>
            </m:r>
            <m:ctrlPr>
              <w:rPr>
                <w:rFonts w:ascii="Cambria Math" w:hAnsi="Cambria Math"/>
              </w:rPr>
            </m:ctrlPr>
          </m:sub>
          <m:sup>
            <m:r>
              <m:rPr>
                <m:sty m:val="b"/>
              </m:rPr>
              <w:rPr>
                <w:rFonts w:ascii="Cambria Math"/>
                <w:lang w:val="en-US"/>
              </w:rPr>
              <m:t>TBG,max</m:t>
            </m:r>
            <m:ctrlPr>
              <w:rPr>
                <w:rFonts w:ascii="Cambria Math" w:hAnsi="Cambria Math"/>
              </w:rPr>
            </m:ctrlPr>
          </m:sup>
        </m:sSubSup>
      </m:oMath>
      <w:r w:rsidRPr="00B27E56">
        <w:t xml:space="preserve"> HARQ-ACK information bits for </w:t>
      </w:r>
      <w:r>
        <w:t xml:space="preserve">a </w:t>
      </w:r>
      <w:r>
        <w:rPr>
          <w:rFonts w:hint="eastAsia"/>
          <w:lang w:eastAsia="zh-CN"/>
        </w:rPr>
        <w:t>DL</w:t>
      </w:r>
      <w:r>
        <w:t xml:space="preserve"> scheduling DCI when spatial bundling is also</w:t>
      </w:r>
      <w:r w:rsidR="00DC11A8">
        <w:t xml:space="preserve"> configured</w:t>
      </w:r>
      <w:r w:rsidRPr="00735297">
        <w:rPr>
          <w:rFonts w:cs="Times New Roman"/>
          <w:szCs w:val="20"/>
        </w:rPr>
        <w:t>.</w:t>
      </w:r>
      <w:bookmarkStart w:id="15" w:name="_GoBack"/>
      <w:bookmarkEnd w:id="15"/>
    </w:p>
    <w:p w14:paraId="5E178375" w14:textId="7B7B4089" w:rsidR="00BC28EE" w:rsidRPr="00C42432" w:rsidRDefault="00BC28EE" w:rsidP="00736821">
      <w:pPr>
        <w:pStyle w:val="10"/>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C42432">
        <w:rPr>
          <w:rFonts w:cs="Times New Roman"/>
          <w:b w:val="0"/>
          <w:bCs w:val="0"/>
          <w:kern w:val="0"/>
          <w:sz w:val="36"/>
          <w:szCs w:val="20"/>
          <w:lang w:val="en-GB" w:eastAsia="en-GB"/>
        </w:rPr>
        <w:t>Conclusion</w:t>
      </w:r>
    </w:p>
    <w:p w14:paraId="73B8A36C" w14:textId="0C6BF3BD" w:rsidR="00BD60A3" w:rsidRPr="00C42432" w:rsidRDefault="006907E9" w:rsidP="008C6991">
      <w:pPr>
        <w:pStyle w:val="a0"/>
        <w:rPr>
          <w:rFonts w:cs="Times New Roman"/>
          <w:szCs w:val="20"/>
        </w:rPr>
      </w:pPr>
      <w:r w:rsidRPr="00C42432">
        <w:rPr>
          <w:rFonts w:cs="Times New Roman"/>
          <w:szCs w:val="20"/>
        </w:rPr>
        <w:t xml:space="preserve">In this contribution, </w:t>
      </w:r>
      <w:r w:rsidR="004B5399">
        <w:rPr>
          <w:rFonts w:cs="Times New Roman"/>
        </w:rPr>
        <w:t xml:space="preserve">some remaining issues </w:t>
      </w:r>
      <w:r w:rsidR="001645B8">
        <w:rPr>
          <w:rFonts w:cs="Times New Roman"/>
        </w:rPr>
        <w:t>on time domain bundling operation for Type-2 HARQ-ACK codebook for</w:t>
      </w:r>
      <w:r w:rsidR="001645B8" w:rsidRPr="00C42432">
        <w:rPr>
          <w:rFonts w:cs="Times New Roman"/>
        </w:rPr>
        <w:t xml:space="preserve"> multi-PDSCH </w:t>
      </w:r>
      <w:r w:rsidR="001645B8">
        <w:rPr>
          <w:rFonts w:cs="Times New Roman"/>
        </w:rPr>
        <w:t>scheduling</w:t>
      </w:r>
      <w:r w:rsidR="004B5399" w:rsidRPr="00C42432">
        <w:rPr>
          <w:rFonts w:cs="Times New Roman"/>
        </w:rPr>
        <w:t xml:space="preserve"> </w:t>
      </w:r>
      <w:r w:rsidR="004B5399">
        <w:rPr>
          <w:rFonts w:cs="Times New Roman"/>
        </w:rPr>
        <w:t>are discussed</w:t>
      </w:r>
      <w:r w:rsidR="008C6991">
        <w:rPr>
          <w:rFonts w:cs="Times New Roman"/>
        </w:rPr>
        <w:t>.</w:t>
      </w:r>
      <w:r w:rsidR="008C6991">
        <w:rPr>
          <w:rFonts w:cs="Times New Roman"/>
          <w:szCs w:val="20"/>
        </w:rPr>
        <w:t xml:space="preserve"> </w:t>
      </w:r>
      <w:r w:rsidR="00BC28EE" w:rsidRPr="00C42432">
        <w:rPr>
          <w:rFonts w:cs="Times New Roman"/>
          <w:szCs w:val="20"/>
        </w:rPr>
        <w:t>We have the following proposals.</w:t>
      </w:r>
    </w:p>
    <w:p w14:paraId="4A2A00CF" w14:textId="7FC23B93" w:rsidR="001645B8" w:rsidRPr="00E91DB1" w:rsidRDefault="001645B8" w:rsidP="001645B8">
      <w:pPr>
        <w:pStyle w:val="a4"/>
        <w:jc w:val="both"/>
        <w:rPr>
          <w:rFonts w:eastAsia="Malgun Gothic"/>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1</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For time domain bundling of Type-2 codebook, division of TBGs is applicable only for an enabled TB of a DL scheduling DCI</w:t>
      </w:r>
      <w:r w:rsidRPr="00735297">
        <w:rPr>
          <w:rFonts w:cs="Times New Roman"/>
          <w:szCs w:val="20"/>
        </w:rPr>
        <w:t>.</w:t>
      </w:r>
    </w:p>
    <w:p w14:paraId="73113A13" w14:textId="5974794D" w:rsidR="001645B8" w:rsidRPr="00E91DB1" w:rsidRDefault="001645B8" w:rsidP="001645B8">
      <w:pPr>
        <w:pStyle w:val="a4"/>
        <w:jc w:val="both"/>
        <w:rPr>
          <w:rFonts w:eastAsia="Malgun Gothic"/>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2</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time domain bundling of Type-2 codebook, </w:t>
      </w:r>
      <w:r>
        <w:t xml:space="preserve">the UE directly generate </w:t>
      </w:r>
      <m:oMath>
        <m:sSubSup>
          <m:sSubSupPr>
            <m:ctrlPr>
              <w:rPr>
                <w:rFonts w:ascii="Cambria Math" w:hAnsi="Cambria Math"/>
                <w:i/>
              </w:rPr>
            </m:ctrlPr>
          </m:sSubSupPr>
          <m:e>
            <m:r>
              <m:rPr>
                <m:sty m:val="bi"/>
              </m:rPr>
              <w:rPr>
                <w:rFonts w:ascii="Cambria Math"/>
              </w:rPr>
              <m:t>N</m:t>
            </m:r>
          </m:e>
          <m:sub>
            <m:r>
              <m:rPr>
                <m:sty m:val="b"/>
              </m:rPr>
              <w:rPr>
                <w:rFonts w:ascii="Cambria Math"/>
              </w:rPr>
              <m:t>HARQ</m:t>
            </m:r>
            <m:r>
              <m:rPr>
                <m:sty m:val="b"/>
              </m:rPr>
              <w:rPr>
                <w:rFonts w:ascii="Cambria Math"/>
              </w:rPr>
              <m:t>-</m:t>
            </m:r>
            <m:r>
              <m:rPr>
                <m:sty m:val="b"/>
              </m:rPr>
              <w:rPr>
                <w:rFonts w:ascii="Cambria Math"/>
              </w:rPr>
              <m:t>ACK,</m:t>
            </m:r>
            <m:r>
              <m:rPr>
                <m:sty m:val="bi"/>
              </m:rPr>
              <w:rPr>
                <w:rFonts w:ascii="Cambria Math"/>
              </w:rPr>
              <m:t>c</m:t>
            </m:r>
            <m:ctrlPr>
              <w:rPr>
                <w:rFonts w:ascii="Cambria Math" w:hAnsi="Cambria Math"/>
              </w:rPr>
            </m:ctrlPr>
          </m:sub>
          <m:sup>
            <m:r>
              <m:rPr>
                <m:sty m:val="b"/>
              </m:rPr>
              <w:rPr>
                <w:rFonts w:ascii="Cambria Math"/>
                <w:lang w:val="en-US"/>
              </w:rPr>
              <m:t>TBG,max</m:t>
            </m:r>
            <m:ctrlPr>
              <w:rPr>
                <w:rFonts w:ascii="Cambria Math" w:hAnsi="Cambria Math"/>
              </w:rPr>
            </m:ctrlPr>
          </m:sup>
        </m:sSubSup>
      </m:oMath>
      <w:r w:rsidRPr="00B27E56">
        <w:t xml:space="preserve"> HARQ-ACK information bits</w:t>
      </w:r>
      <w:r>
        <w:t xml:space="preserve"> each of which is set to NACK for a disabled TB</w:t>
      </w:r>
      <w:r>
        <w:rPr>
          <w:rFonts w:cs="Times New Roman"/>
          <w:szCs w:val="20"/>
        </w:rPr>
        <w:t xml:space="preserve"> of a DL scheduling DCI</w:t>
      </w:r>
      <w:r w:rsidRPr="00735297">
        <w:rPr>
          <w:rFonts w:cs="Times New Roman"/>
          <w:szCs w:val="20"/>
        </w:rPr>
        <w:t>.</w:t>
      </w:r>
    </w:p>
    <w:p w14:paraId="01033005" w14:textId="645E6566" w:rsidR="001645B8" w:rsidRDefault="001645B8" w:rsidP="001645B8">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3</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time domain bundling of Type-2 codebook, clarify the corresponding UE behaviour to generate </w:t>
      </w:r>
      <m:oMath>
        <m:sSubSup>
          <m:sSubSupPr>
            <m:ctrlPr>
              <w:rPr>
                <w:rFonts w:ascii="Cambria Math" w:hAnsi="Cambria Math"/>
                <w:i/>
              </w:rPr>
            </m:ctrlPr>
          </m:sSubSupPr>
          <m:e>
            <m:r>
              <m:rPr>
                <m:sty m:val="bi"/>
              </m:rPr>
              <w:rPr>
                <w:rFonts w:ascii="Cambria Math"/>
              </w:rPr>
              <m:t>N</m:t>
            </m:r>
          </m:e>
          <m:sub>
            <m:r>
              <m:rPr>
                <m:sty m:val="b"/>
              </m:rPr>
              <w:rPr>
                <w:rFonts w:ascii="Cambria Math"/>
              </w:rPr>
              <m:t>HARQ</m:t>
            </m:r>
            <m:r>
              <m:rPr>
                <m:sty m:val="b"/>
              </m:rPr>
              <w:rPr>
                <w:rFonts w:ascii="Cambria Math"/>
              </w:rPr>
              <m:t>-</m:t>
            </m:r>
            <m:r>
              <m:rPr>
                <m:sty m:val="b"/>
              </m:rPr>
              <w:rPr>
                <w:rFonts w:ascii="Cambria Math"/>
              </w:rPr>
              <m:t>ACK,</m:t>
            </m:r>
            <m:r>
              <m:rPr>
                <m:sty m:val="bi"/>
              </m:rPr>
              <w:rPr>
                <w:rFonts w:ascii="Cambria Math"/>
              </w:rPr>
              <m:t>c</m:t>
            </m:r>
            <m:ctrlPr>
              <w:rPr>
                <w:rFonts w:ascii="Cambria Math" w:hAnsi="Cambria Math"/>
              </w:rPr>
            </m:ctrlPr>
          </m:sub>
          <m:sup>
            <m:r>
              <m:rPr>
                <m:sty m:val="b"/>
              </m:rPr>
              <w:rPr>
                <w:rFonts w:ascii="Cambria Math"/>
                <w:lang w:val="en-US"/>
              </w:rPr>
              <m:t>TBG,max</m:t>
            </m:r>
            <m:ctrlPr>
              <w:rPr>
                <w:rFonts w:ascii="Cambria Math" w:hAnsi="Cambria Math"/>
              </w:rPr>
            </m:ctrlPr>
          </m:sup>
        </m:sSubSup>
      </m:oMath>
      <w:r w:rsidRPr="00B27E56">
        <w:t xml:space="preserve"> HARQ-ACK information bits for </w:t>
      </w:r>
      <w:r>
        <w:t xml:space="preserve">a </w:t>
      </w:r>
      <w:r>
        <w:rPr>
          <w:rFonts w:hint="eastAsia"/>
          <w:lang w:eastAsia="zh-CN"/>
        </w:rPr>
        <w:t>DL</w:t>
      </w:r>
      <w:r>
        <w:t xml:space="preserve"> scheduling DCI when spatial bundling is also configured</w:t>
      </w:r>
      <w:r w:rsidRPr="00735297">
        <w:rPr>
          <w:rFonts w:cs="Times New Roman"/>
          <w:szCs w:val="20"/>
        </w:rPr>
        <w:t>.</w:t>
      </w:r>
    </w:p>
    <w:p w14:paraId="66FBB517" w14:textId="77777777" w:rsidR="005604F2" w:rsidRPr="00C42432" w:rsidRDefault="005604F2" w:rsidP="005604F2">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b w:val="0"/>
          <w:bCs w:val="0"/>
          <w:kern w:val="0"/>
          <w:sz w:val="36"/>
          <w:szCs w:val="20"/>
          <w:lang w:val="fr-FR"/>
        </w:rPr>
      </w:pPr>
      <w:r w:rsidRPr="00C42432">
        <w:rPr>
          <w:b w:val="0"/>
          <w:bCs w:val="0"/>
          <w:kern w:val="0"/>
          <w:sz w:val="36"/>
          <w:szCs w:val="20"/>
        </w:rPr>
        <w:t>References</w:t>
      </w:r>
    </w:p>
    <w:p w14:paraId="5E0A41DA" w14:textId="7CDF55D0" w:rsidR="00086B0C" w:rsidRDefault="009967CB" w:rsidP="00EA37E1">
      <w:pPr>
        <w:pStyle w:val="a0"/>
        <w:widowControl/>
        <w:numPr>
          <w:ilvl w:val="0"/>
          <w:numId w:val="4"/>
        </w:numPr>
        <w:rPr>
          <w:rFonts w:eastAsia="宋体" w:cs="Times New Roman"/>
        </w:rPr>
      </w:pPr>
      <w:bookmarkStart w:id="16" w:name="_Ref92384732"/>
      <w:r>
        <w:rPr>
          <w:rFonts w:eastAsia="宋体" w:cs="Times New Roman"/>
        </w:rPr>
        <w:t>TS 38.213, Physical layer procedures for control, v17.</w:t>
      </w:r>
      <w:r w:rsidR="00981B2A">
        <w:rPr>
          <w:rFonts w:eastAsia="宋体" w:cs="Times New Roman"/>
        </w:rPr>
        <w:t>2</w:t>
      </w:r>
      <w:r>
        <w:rPr>
          <w:rFonts w:eastAsia="宋体" w:cs="Times New Roman"/>
        </w:rPr>
        <w:t xml:space="preserve">.0, </w:t>
      </w:r>
      <w:r w:rsidR="00981B2A">
        <w:rPr>
          <w:rFonts w:eastAsia="宋体" w:cs="Times New Roman"/>
        </w:rPr>
        <w:t>Jun</w:t>
      </w:r>
      <w:r>
        <w:rPr>
          <w:rFonts w:eastAsia="宋体" w:cs="Times New Roman"/>
        </w:rPr>
        <w:t xml:space="preserve">. </w:t>
      </w:r>
      <w:r w:rsidR="007A3F06">
        <w:rPr>
          <w:rFonts w:eastAsia="宋体" w:cs="Times New Roman"/>
        </w:rPr>
        <w:t>2022</w:t>
      </w:r>
      <w:r>
        <w:rPr>
          <w:rFonts w:eastAsia="宋体" w:cs="Times New Roman"/>
        </w:rPr>
        <w:t>.</w:t>
      </w:r>
      <w:bookmarkEnd w:id="16"/>
    </w:p>
    <w:p w14:paraId="72991603" w14:textId="64D20832" w:rsidR="00DB2F4F" w:rsidRDefault="00D728FB" w:rsidP="00EA37E1">
      <w:pPr>
        <w:pStyle w:val="a0"/>
        <w:widowControl/>
        <w:numPr>
          <w:ilvl w:val="0"/>
          <w:numId w:val="4"/>
        </w:numPr>
        <w:rPr>
          <w:rFonts w:eastAsia="宋体" w:cs="Times New Roman"/>
        </w:rPr>
      </w:pPr>
      <w:bookmarkStart w:id="17" w:name="_Ref110514907"/>
      <w:r w:rsidRPr="00D728FB">
        <w:rPr>
          <w:rFonts w:eastAsia="宋体" w:cs="Times New Roman"/>
        </w:rPr>
        <w:t>R1-2206736</w:t>
      </w:r>
      <w:r w:rsidR="00A26126">
        <w:rPr>
          <w:rFonts w:eastAsia="宋体" w:cs="Times New Roman"/>
        </w:rPr>
        <w:t xml:space="preserve">, </w:t>
      </w:r>
      <w:r w:rsidR="00DB2F4F" w:rsidRPr="00DB2F4F">
        <w:rPr>
          <w:rFonts w:eastAsia="宋体" w:cs="Times New Roman"/>
        </w:rPr>
        <w:t>Correction on division of TBGs for Type-2 codebook</w:t>
      </w:r>
      <w:r w:rsidR="00A26126">
        <w:rPr>
          <w:rFonts w:eastAsia="宋体" w:cs="Times New Roman"/>
        </w:rPr>
        <w:t>, vivo, RAN1#110.</w:t>
      </w:r>
      <w:bookmarkEnd w:id="17"/>
    </w:p>
    <w:p w14:paraId="6ACB8CBA" w14:textId="68914818" w:rsidR="00DB2F4F" w:rsidRPr="00610790" w:rsidRDefault="00D728FB" w:rsidP="00EA37E1">
      <w:pPr>
        <w:pStyle w:val="a0"/>
        <w:widowControl/>
        <w:numPr>
          <w:ilvl w:val="0"/>
          <w:numId w:val="4"/>
        </w:numPr>
        <w:rPr>
          <w:rFonts w:eastAsia="宋体" w:cs="Times New Roman"/>
        </w:rPr>
      </w:pPr>
      <w:bookmarkStart w:id="18" w:name="_Ref110514918"/>
      <w:r w:rsidRPr="00D728FB">
        <w:rPr>
          <w:rFonts w:eastAsia="宋体" w:cs="Times New Roman"/>
        </w:rPr>
        <w:t>R1-2206737</w:t>
      </w:r>
      <w:r w:rsidR="00A26126">
        <w:rPr>
          <w:rFonts w:eastAsia="宋体" w:cs="Times New Roman"/>
        </w:rPr>
        <w:t xml:space="preserve">, </w:t>
      </w:r>
      <w:r w:rsidR="00DB2F4F" w:rsidRPr="00DB2F4F">
        <w:rPr>
          <w:rFonts w:eastAsia="宋体" w:cs="Times New Roman"/>
        </w:rPr>
        <w:t>Correction on time domain bundling with spatial bundling for Type-2 codebook</w:t>
      </w:r>
      <w:r w:rsidR="00A26126">
        <w:rPr>
          <w:rFonts w:eastAsia="宋体" w:cs="Times New Roman"/>
        </w:rPr>
        <w:t>, vivo, RAN1#110.</w:t>
      </w:r>
      <w:bookmarkEnd w:id="18"/>
    </w:p>
    <w:sectPr w:rsidR="00DB2F4F" w:rsidRPr="00610790" w:rsidSect="00BE3E95">
      <w:type w:val="continuous"/>
      <w:pgSz w:w="11906" w:h="16838"/>
      <w:pgMar w:top="1418" w:right="1418" w:bottom="1418" w:left="1418"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464C2" w14:textId="77777777" w:rsidR="00A65F48" w:rsidRDefault="00A65F48" w:rsidP="00204D92">
      <w:r>
        <w:separator/>
      </w:r>
    </w:p>
  </w:endnote>
  <w:endnote w:type="continuationSeparator" w:id="0">
    <w:p w14:paraId="42830CC0" w14:textId="77777777" w:rsidR="00A65F48" w:rsidRDefault="00A65F48" w:rsidP="00204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7B030" w14:textId="77777777" w:rsidR="00A65F48" w:rsidRDefault="00A65F48" w:rsidP="00204D92">
      <w:r>
        <w:separator/>
      </w:r>
    </w:p>
  </w:footnote>
  <w:footnote w:type="continuationSeparator" w:id="0">
    <w:p w14:paraId="15907083" w14:textId="77777777" w:rsidR="00A65F48" w:rsidRDefault="00A65F48" w:rsidP="00204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26022"/>
    <w:multiLevelType w:val="hybridMultilevel"/>
    <w:tmpl w:val="57EA114A"/>
    <w:lvl w:ilvl="0" w:tplc="9E2A39CA">
      <w:start w:val="1"/>
      <w:numFmt w:val="decimal"/>
      <w:lvlText w:val="%1&gt;"/>
      <w:lvlJc w:val="left"/>
      <w:pPr>
        <w:ind w:left="420" w:hanging="420"/>
      </w:pPr>
      <w:rPr>
        <w:rFonts w:ascii="Times New Roman" w:eastAsiaTheme="minorEastAsia" w:hAnsi="Times New Roman" w:cstheme="minorBid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70B4A"/>
    <w:multiLevelType w:val="hybridMultilevel"/>
    <w:tmpl w:val="7DF0E9EE"/>
    <w:lvl w:ilvl="0" w:tplc="50D46E0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507E5"/>
    <w:multiLevelType w:val="multilevel"/>
    <w:tmpl w:val="0FFC77E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782F57"/>
    <w:multiLevelType w:val="multilevel"/>
    <w:tmpl w:val="A90489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9F649A"/>
    <w:multiLevelType w:val="hybridMultilevel"/>
    <w:tmpl w:val="7E18E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590941"/>
    <w:multiLevelType w:val="hybridMultilevel"/>
    <w:tmpl w:val="144CEF1C"/>
    <w:lvl w:ilvl="0" w:tplc="376460E8">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756605"/>
    <w:multiLevelType w:val="hybridMultilevel"/>
    <w:tmpl w:val="B48295A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212F47E3"/>
    <w:multiLevelType w:val="multilevel"/>
    <w:tmpl w:val="18A4A808"/>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E9549E"/>
    <w:multiLevelType w:val="multilevel"/>
    <w:tmpl w:val="2854A1A0"/>
    <w:lvl w:ilvl="0">
      <w:start w:val="4"/>
      <w:numFmt w:val="decimal"/>
      <w:lvlText w:val="%1"/>
      <w:lvlJc w:val="left"/>
      <w:pPr>
        <w:ind w:left="845"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505" w:hanging="1080"/>
      </w:pPr>
      <w:rPr>
        <w:rFonts w:hint="default"/>
      </w:rPr>
    </w:lvl>
    <w:lvl w:ilvl="4">
      <w:start w:val="1"/>
      <w:numFmt w:val="decimal"/>
      <w:lvlText w:val="%1.%2.%3.%4.%5"/>
      <w:lvlJc w:val="left"/>
      <w:pPr>
        <w:ind w:left="1865" w:hanging="1440"/>
      </w:pPr>
      <w:rPr>
        <w:rFonts w:hint="default"/>
      </w:rPr>
    </w:lvl>
    <w:lvl w:ilvl="5">
      <w:start w:val="1"/>
      <w:numFmt w:val="decimal"/>
      <w:lvlText w:val="%1.%2.%3.%4.%5.%6"/>
      <w:lvlJc w:val="left"/>
      <w:pPr>
        <w:ind w:left="1865" w:hanging="1440"/>
      </w:pPr>
      <w:rPr>
        <w:rFonts w:hint="default"/>
      </w:rPr>
    </w:lvl>
    <w:lvl w:ilvl="6">
      <w:start w:val="1"/>
      <w:numFmt w:val="decimal"/>
      <w:lvlText w:val="%1.%2.%3.%4.%5.%6.%7"/>
      <w:lvlJc w:val="left"/>
      <w:pPr>
        <w:ind w:left="2225" w:hanging="1800"/>
      </w:pPr>
      <w:rPr>
        <w:rFonts w:hint="default"/>
      </w:rPr>
    </w:lvl>
    <w:lvl w:ilvl="7">
      <w:start w:val="1"/>
      <w:numFmt w:val="decimal"/>
      <w:lvlText w:val="%1.%2.%3.%4.%5.%6.%7.%8"/>
      <w:lvlJc w:val="left"/>
      <w:pPr>
        <w:ind w:left="2585" w:hanging="2160"/>
      </w:pPr>
      <w:rPr>
        <w:rFonts w:hint="default"/>
      </w:rPr>
    </w:lvl>
    <w:lvl w:ilvl="8">
      <w:start w:val="1"/>
      <w:numFmt w:val="decimal"/>
      <w:lvlText w:val="%1.%2.%3.%4.%5.%6.%7.%8.%9"/>
      <w:lvlJc w:val="left"/>
      <w:pPr>
        <w:ind w:left="2945" w:hanging="2520"/>
      </w:pPr>
      <w:rPr>
        <w:rFonts w:hint="default"/>
      </w:rPr>
    </w:lvl>
  </w:abstractNum>
  <w:abstractNum w:abstractNumId="12" w15:restartNumberingAfterBreak="0">
    <w:nsid w:val="2EEA0C46"/>
    <w:multiLevelType w:val="multilevel"/>
    <w:tmpl w:val="17DCD3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2F39570D"/>
    <w:multiLevelType w:val="multilevel"/>
    <w:tmpl w:val="D20E161A"/>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32CF671B"/>
    <w:multiLevelType w:val="multilevel"/>
    <w:tmpl w:val="7E8C44F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B86302"/>
    <w:multiLevelType w:val="hybridMultilevel"/>
    <w:tmpl w:val="1148653A"/>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000E4A"/>
    <w:multiLevelType w:val="hybridMultilevel"/>
    <w:tmpl w:val="27381366"/>
    <w:lvl w:ilvl="0" w:tplc="B8AE645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566400"/>
    <w:multiLevelType w:val="multilevel"/>
    <w:tmpl w:val="35566400"/>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8" w15:restartNumberingAfterBreak="0">
    <w:nsid w:val="374C147A"/>
    <w:multiLevelType w:val="hybridMultilevel"/>
    <w:tmpl w:val="85162438"/>
    <w:lvl w:ilvl="0" w:tplc="376460E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9C7B14"/>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85758A"/>
    <w:multiLevelType w:val="multilevel"/>
    <w:tmpl w:val="E3F4C594"/>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DC25295"/>
    <w:multiLevelType w:val="multilevel"/>
    <w:tmpl w:val="AB4C30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5CD23E5E"/>
    <w:multiLevelType w:val="multilevel"/>
    <w:tmpl w:val="A9A23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147A29"/>
    <w:multiLevelType w:val="hybridMultilevel"/>
    <w:tmpl w:val="26363F32"/>
    <w:lvl w:ilvl="0" w:tplc="2A869AE8">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4C0081"/>
    <w:multiLevelType w:val="multilevel"/>
    <w:tmpl w:val="A8E27B6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652633C0"/>
    <w:multiLevelType w:val="multilevel"/>
    <w:tmpl w:val="0388E8F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668B1F43"/>
    <w:multiLevelType w:val="hybridMultilevel"/>
    <w:tmpl w:val="50FADA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FD03CC"/>
    <w:multiLevelType w:val="hybridMultilevel"/>
    <w:tmpl w:val="96E8E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6475AF"/>
    <w:multiLevelType w:val="multilevel"/>
    <w:tmpl w:val="D20E161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6D6C0433"/>
    <w:multiLevelType w:val="multilevel"/>
    <w:tmpl w:val="47F2794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336473"/>
    <w:multiLevelType w:val="hybridMultilevel"/>
    <w:tmpl w:val="8F9A87A2"/>
    <w:lvl w:ilvl="0" w:tplc="F350FF30">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3C00D2"/>
    <w:multiLevelType w:val="multilevel"/>
    <w:tmpl w:val="44364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34"/>
  </w:num>
  <w:num w:numId="3">
    <w:abstractNumId w:val="0"/>
  </w:num>
  <w:num w:numId="4">
    <w:abstractNumId w:val="37"/>
  </w:num>
  <w:num w:numId="5">
    <w:abstractNumId w:val="39"/>
  </w:num>
  <w:num w:numId="6">
    <w:abstractNumId w:val="6"/>
  </w:num>
  <w:num w:numId="7">
    <w:abstractNumId w:val="16"/>
  </w:num>
  <w:num w:numId="8">
    <w:abstractNumId w:val="21"/>
  </w:num>
  <w:num w:numId="9">
    <w:abstractNumId w:val="17"/>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7"/>
  </w:num>
  <w:num w:numId="13">
    <w:abstractNumId w:val="25"/>
  </w:num>
  <w:num w:numId="14">
    <w:abstractNumId w:val="30"/>
  </w:num>
  <w:num w:numId="15">
    <w:abstractNumId w:val="5"/>
  </w:num>
  <w:num w:numId="16">
    <w:abstractNumId w:val="18"/>
  </w:num>
  <w:num w:numId="17">
    <w:abstractNumId w:val="38"/>
  </w:num>
  <w:num w:numId="18">
    <w:abstractNumId w:val="35"/>
  </w:num>
  <w:num w:numId="19">
    <w:abstractNumId w:val="31"/>
  </w:num>
  <w:num w:numId="20">
    <w:abstractNumId w:val="7"/>
  </w:num>
  <w:num w:numId="21">
    <w:abstractNumId w:val="3"/>
  </w:num>
  <w:num w:numId="22">
    <w:abstractNumId w:val="10"/>
  </w:num>
  <w:num w:numId="23">
    <w:abstractNumId w:val="28"/>
  </w:num>
  <w:num w:numId="24">
    <w:abstractNumId w:val="22"/>
  </w:num>
  <w:num w:numId="25">
    <w:abstractNumId w:val="32"/>
  </w:num>
  <w:num w:numId="26">
    <w:abstractNumId w:val="20"/>
  </w:num>
  <w:num w:numId="27">
    <w:abstractNumId w:val="12"/>
  </w:num>
  <w:num w:numId="28">
    <w:abstractNumId w:val="24"/>
  </w:num>
  <w:num w:numId="29">
    <w:abstractNumId w:val="2"/>
  </w:num>
  <w:num w:numId="30">
    <w:abstractNumId w:val="14"/>
  </w:num>
  <w:num w:numId="31">
    <w:abstractNumId w:val="29"/>
  </w:num>
  <w:num w:numId="32">
    <w:abstractNumId w:val="23"/>
  </w:num>
  <w:num w:numId="33">
    <w:abstractNumId w:val="40"/>
  </w:num>
  <w:num w:numId="34">
    <w:abstractNumId w:val="15"/>
  </w:num>
  <w:num w:numId="35">
    <w:abstractNumId w:val="21"/>
  </w:num>
  <w:num w:numId="36">
    <w:abstractNumId w:val="1"/>
  </w:num>
  <w:num w:numId="37">
    <w:abstractNumId w:val="36"/>
  </w:num>
  <w:num w:numId="38">
    <w:abstractNumId w:val="26"/>
  </w:num>
  <w:num w:numId="39">
    <w:abstractNumId w:val="21"/>
  </w:num>
  <w:num w:numId="40">
    <w:abstractNumId w:val="11"/>
  </w:num>
  <w:num w:numId="41">
    <w:abstractNumId w:val="8"/>
  </w:num>
  <w:num w:numId="42">
    <w:abstractNumId w:val="13"/>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4"/>
  </w:num>
  <w:num w:numId="46">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16"/>
    <w:rsid w:val="00000174"/>
    <w:rsid w:val="00001B57"/>
    <w:rsid w:val="0000274F"/>
    <w:rsid w:val="000028A4"/>
    <w:rsid w:val="000034A3"/>
    <w:rsid w:val="0000380B"/>
    <w:rsid w:val="000050D8"/>
    <w:rsid w:val="0000624F"/>
    <w:rsid w:val="00006934"/>
    <w:rsid w:val="00007CD7"/>
    <w:rsid w:val="00010507"/>
    <w:rsid w:val="00011B58"/>
    <w:rsid w:val="000138B3"/>
    <w:rsid w:val="000143CB"/>
    <w:rsid w:val="00016EA6"/>
    <w:rsid w:val="00017EF5"/>
    <w:rsid w:val="0002140F"/>
    <w:rsid w:val="0002219C"/>
    <w:rsid w:val="000243B3"/>
    <w:rsid w:val="00030262"/>
    <w:rsid w:val="00030847"/>
    <w:rsid w:val="0003254F"/>
    <w:rsid w:val="00033578"/>
    <w:rsid w:val="00033E68"/>
    <w:rsid w:val="0003484E"/>
    <w:rsid w:val="00035CA9"/>
    <w:rsid w:val="00041C64"/>
    <w:rsid w:val="00043B12"/>
    <w:rsid w:val="0004698E"/>
    <w:rsid w:val="00047D4C"/>
    <w:rsid w:val="00050018"/>
    <w:rsid w:val="0005267D"/>
    <w:rsid w:val="000526D5"/>
    <w:rsid w:val="000532A3"/>
    <w:rsid w:val="00053A42"/>
    <w:rsid w:val="000553FB"/>
    <w:rsid w:val="0005645F"/>
    <w:rsid w:val="000600DD"/>
    <w:rsid w:val="000604C7"/>
    <w:rsid w:val="00062206"/>
    <w:rsid w:val="00063D32"/>
    <w:rsid w:val="00065448"/>
    <w:rsid w:val="00066FEE"/>
    <w:rsid w:val="00067F71"/>
    <w:rsid w:val="0007033F"/>
    <w:rsid w:val="00071202"/>
    <w:rsid w:val="0007149F"/>
    <w:rsid w:val="00072B58"/>
    <w:rsid w:val="000736F1"/>
    <w:rsid w:val="00073A23"/>
    <w:rsid w:val="00074C40"/>
    <w:rsid w:val="000807F8"/>
    <w:rsid w:val="000827E6"/>
    <w:rsid w:val="00083AD0"/>
    <w:rsid w:val="000846B0"/>
    <w:rsid w:val="00084ED2"/>
    <w:rsid w:val="00085759"/>
    <w:rsid w:val="00086B0C"/>
    <w:rsid w:val="00091DCC"/>
    <w:rsid w:val="00092BCF"/>
    <w:rsid w:val="00092F45"/>
    <w:rsid w:val="000931D1"/>
    <w:rsid w:val="000978A5"/>
    <w:rsid w:val="000A0266"/>
    <w:rsid w:val="000A1EAE"/>
    <w:rsid w:val="000A2F70"/>
    <w:rsid w:val="000A347B"/>
    <w:rsid w:val="000A4B39"/>
    <w:rsid w:val="000A75C5"/>
    <w:rsid w:val="000A7715"/>
    <w:rsid w:val="000B05B8"/>
    <w:rsid w:val="000B06F7"/>
    <w:rsid w:val="000B13F1"/>
    <w:rsid w:val="000B40AB"/>
    <w:rsid w:val="000B456B"/>
    <w:rsid w:val="000B49A3"/>
    <w:rsid w:val="000B4BB2"/>
    <w:rsid w:val="000B4CB0"/>
    <w:rsid w:val="000B4F29"/>
    <w:rsid w:val="000B5112"/>
    <w:rsid w:val="000B7AF6"/>
    <w:rsid w:val="000C0A79"/>
    <w:rsid w:val="000C16B5"/>
    <w:rsid w:val="000C69AF"/>
    <w:rsid w:val="000C6A0E"/>
    <w:rsid w:val="000C6D61"/>
    <w:rsid w:val="000C725D"/>
    <w:rsid w:val="000D471B"/>
    <w:rsid w:val="000D5123"/>
    <w:rsid w:val="000D6AAF"/>
    <w:rsid w:val="000D6E74"/>
    <w:rsid w:val="000E011F"/>
    <w:rsid w:val="000E090B"/>
    <w:rsid w:val="000E1B46"/>
    <w:rsid w:val="000E75BE"/>
    <w:rsid w:val="000F0CE3"/>
    <w:rsid w:val="000F39B8"/>
    <w:rsid w:val="000F39FD"/>
    <w:rsid w:val="000F46E6"/>
    <w:rsid w:val="000F70FC"/>
    <w:rsid w:val="001001DF"/>
    <w:rsid w:val="00100A87"/>
    <w:rsid w:val="00103273"/>
    <w:rsid w:val="0010392C"/>
    <w:rsid w:val="00104C94"/>
    <w:rsid w:val="0010508F"/>
    <w:rsid w:val="001053BB"/>
    <w:rsid w:val="001068E7"/>
    <w:rsid w:val="00107CC8"/>
    <w:rsid w:val="0011109C"/>
    <w:rsid w:val="001116BD"/>
    <w:rsid w:val="0011187B"/>
    <w:rsid w:val="00113575"/>
    <w:rsid w:val="00113700"/>
    <w:rsid w:val="00114032"/>
    <w:rsid w:val="0011449C"/>
    <w:rsid w:val="0011462A"/>
    <w:rsid w:val="001153C6"/>
    <w:rsid w:val="00115444"/>
    <w:rsid w:val="00115FB0"/>
    <w:rsid w:val="00116CD1"/>
    <w:rsid w:val="00117BEE"/>
    <w:rsid w:val="00120A16"/>
    <w:rsid w:val="001227BA"/>
    <w:rsid w:val="00123FE7"/>
    <w:rsid w:val="00124FC8"/>
    <w:rsid w:val="001259AD"/>
    <w:rsid w:val="0012648B"/>
    <w:rsid w:val="00130F0E"/>
    <w:rsid w:val="00131777"/>
    <w:rsid w:val="00132160"/>
    <w:rsid w:val="001359E4"/>
    <w:rsid w:val="001362E0"/>
    <w:rsid w:val="00136623"/>
    <w:rsid w:val="001427A0"/>
    <w:rsid w:val="00143A72"/>
    <w:rsid w:val="00144E3D"/>
    <w:rsid w:val="001526A4"/>
    <w:rsid w:val="00152981"/>
    <w:rsid w:val="0016309D"/>
    <w:rsid w:val="00163906"/>
    <w:rsid w:val="001645B8"/>
    <w:rsid w:val="00164A58"/>
    <w:rsid w:val="0016563A"/>
    <w:rsid w:val="00165914"/>
    <w:rsid w:val="001675A9"/>
    <w:rsid w:val="00167CB0"/>
    <w:rsid w:val="00167D76"/>
    <w:rsid w:val="0017039C"/>
    <w:rsid w:val="00170F8F"/>
    <w:rsid w:val="00173402"/>
    <w:rsid w:val="00174632"/>
    <w:rsid w:val="001761FA"/>
    <w:rsid w:val="00180C8A"/>
    <w:rsid w:val="00181A8F"/>
    <w:rsid w:val="001835FB"/>
    <w:rsid w:val="00184FF2"/>
    <w:rsid w:val="00185307"/>
    <w:rsid w:val="00187A1B"/>
    <w:rsid w:val="0019059A"/>
    <w:rsid w:val="001908E9"/>
    <w:rsid w:val="00190F3C"/>
    <w:rsid w:val="00196041"/>
    <w:rsid w:val="0019695D"/>
    <w:rsid w:val="001A04B7"/>
    <w:rsid w:val="001A1C80"/>
    <w:rsid w:val="001A39FE"/>
    <w:rsid w:val="001A4E5C"/>
    <w:rsid w:val="001B202B"/>
    <w:rsid w:val="001B23F6"/>
    <w:rsid w:val="001B423A"/>
    <w:rsid w:val="001B6368"/>
    <w:rsid w:val="001C17CF"/>
    <w:rsid w:val="001C1BED"/>
    <w:rsid w:val="001C2F44"/>
    <w:rsid w:val="001C3A21"/>
    <w:rsid w:val="001C4425"/>
    <w:rsid w:val="001C471C"/>
    <w:rsid w:val="001C4A5E"/>
    <w:rsid w:val="001C5030"/>
    <w:rsid w:val="001D18A9"/>
    <w:rsid w:val="001D4FBB"/>
    <w:rsid w:val="001D52EC"/>
    <w:rsid w:val="001D792B"/>
    <w:rsid w:val="001E02DB"/>
    <w:rsid w:val="001E24C0"/>
    <w:rsid w:val="001E3185"/>
    <w:rsid w:val="001E4546"/>
    <w:rsid w:val="001E5224"/>
    <w:rsid w:val="001E53CA"/>
    <w:rsid w:val="001E5905"/>
    <w:rsid w:val="001F102F"/>
    <w:rsid w:val="001F1258"/>
    <w:rsid w:val="001F2B16"/>
    <w:rsid w:val="001F58C7"/>
    <w:rsid w:val="001F6E48"/>
    <w:rsid w:val="00203291"/>
    <w:rsid w:val="00204D92"/>
    <w:rsid w:val="00206810"/>
    <w:rsid w:val="0020774A"/>
    <w:rsid w:val="00207EE1"/>
    <w:rsid w:val="002120B8"/>
    <w:rsid w:val="002137A0"/>
    <w:rsid w:val="00217E25"/>
    <w:rsid w:val="0022455E"/>
    <w:rsid w:val="002266CC"/>
    <w:rsid w:val="00230470"/>
    <w:rsid w:val="00230829"/>
    <w:rsid w:val="00231BB7"/>
    <w:rsid w:val="00233682"/>
    <w:rsid w:val="002352B4"/>
    <w:rsid w:val="00236FAA"/>
    <w:rsid w:val="0023770C"/>
    <w:rsid w:val="00237D36"/>
    <w:rsid w:val="002412E3"/>
    <w:rsid w:val="00241303"/>
    <w:rsid w:val="00245945"/>
    <w:rsid w:val="00247733"/>
    <w:rsid w:val="00247EF1"/>
    <w:rsid w:val="002503C7"/>
    <w:rsid w:val="00251EAD"/>
    <w:rsid w:val="0025296E"/>
    <w:rsid w:val="00255528"/>
    <w:rsid w:val="00257853"/>
    <w:rsid w:val="0026050D"/>
    <w:rsid w:val="00261C20"/>
    <w:rsid w:val="0026320B"/>
    <w:rsid w:val="00263ED7"/>
    <w:rsid w:val="00264118"/>
    <w:rsid w:val="00265A02"/>
    <w:rsid w:val="0026632A"/>
    <w:rsid w:val="00266FDE"/>
    <w:rsid w:val="002679B7"/>
    <w:rsid w:val="0027078F"/>
    <w:rsid w:val="00270EAB"/>
    <w:rsid w:val="00271732"/>
    <w:rsid w:val="00271E84"/>
    <w:rsid w:val="00271EE0"/>
    <w:rsid w:val="00272442"/>
    <w:rsid w:val="00272D47"/>
    <w:rsid w:val="0027350B"/>
    <w:rsid w:val="00276FD6"/>
    <w:rsid w:val="00277D04"/>
    <w:rsid w:val="0028068A"/>
    <w:rsid w:val="002810EB"/>
    <w:rsid w:val="0028208F"/>
    <w:rsid w:val="00287B9F"/>
    <w:rsid w:val="0029137D"/>
    <w:rsid w:val="00293CE2"/>
    <w:rsid w:val="002955C6"/>
    <w:rsid w:val="00296FD1"/>
    <w:rsid w:val="002A1947"/>
    <w:rsid w:val="002A19F9"/>
    <w:rsid w:val="002A37B2"/>
    <w:rsid w:val="002A53E4"/>
    <w:rsid w:val="002A5417"/>
    <w:rsid w:val="002B04C5"/>
    <w:rsid w:val="002B0C9A"/>
    <w:rsid w:val="002B40FB"/>
    <w:rsid w:val="002B4B7F"/>
    <w:rsid w:val="002C093B"/>
    <w:rsid w:val="002C0FBA"/>
    <w:rsid w:val="002C1CAD"/>
    <w:rsid w:val="002C38C1"/>
    <w:rsid w:val="002C3EF7"/>
    <w:rsid w:val="002D2D3B"/>
    <w:rsid w:val="002D5B00"/>
    <w:rsid w:val="002D7558"/>
    <w:rsid w:val="002E04C6"/>
    <w:rsid w:val="002E16DD"/>
    <w:rsid w:val="002E218B"/>
    <w:rsid w:val="002E2CCD"/>
    <w:rsid w:val="002E32FD"/>
    <w:rsid w:val="002E421A"/>
    <w:rsid w:val="002E4456"/>
    <w:rsid w:val="002E6675"/>
    <w:rsid w:val="002E6F29"/>
    <w:rsid w:val="002F3624"/>
    <w:rsid w:val="002F36C4"/>
    <w:rsid w:val="002F5E90"/>
    <w:rsid w:val="002F6036"/>
    <w:rsid w:val="00300F05"/>
    <w:rsid w:val="00301FA6"/>
    <w:rsid w:val="003027B9"/>
    <w:rsid w:val="00305037"/>
    <w:rsid w:val="003102EB"/>
    <w:rsid w:val="0031046E"/>
    <w:rsid w:val="00310E4A"/>
    <w:rsid w:val="00313336"/>
    <w:rsid w:val="00313BC0"/>
    <w:rsid w:val="00314BFD"/>
    <w:rsid w:val="00314D28"/>
    <w:rsid w:val="00316AF4"/>
    <w:rsid w:val="00317E1D"/>
    <w:rsid w:val="00323EDC"/>
    <w:rsid w:val="003269A4"/>
    <w:rsid w:val="00326C1E"/>
    <w:rsid w:val="00326F90"/>
    <w:rsid w:val="0032721F"/>
    <w:rsid w:val="00327774"/>
    <w:rsid w:val="00327A33"/>
    <w:rsid w:val="00330FA8"/>
    <w:rsid w:val="00331252"/>
    <w:rsid w:val="0033209F"/>
    <w:rsid w:val="00333A42"/>
    <w:rsid w:val="00335B31"/>
    <w:rsid w:val="00336360"/>
    <w:rsid w:val="00336CA9"/>
    <w:rsid w:val="00337BF0"/>
    <w:rsid w:val="00342C22"/>
    <w:rsid w:val="00343477"/>
    <w:rsid w:val="00344059"/>
    <w:rsid w:val="00344617"/>
    <w:rsid w:val="00346BD4"/>
    <w:rsid w:val="0034772D"/>
    <w:rsid w:val="0034779F"/>
    <w:rsid w:val="00347EA8"/>
    <w:rsid w:val="003519B4"/>
    <w:rsid w:val="00351EF7"/>
    <w:rsid w:val="0035682D"/>
    <w:rsid w:val="00356FCD"/>
    <w:rsid w:val="003571E9"/>
    <w:rsid w:val="00361588"/>
    <w:rsid w:val="00361C4A"/>
    <w:rsid w:val="003626F5"/>
    <w:rsid w:val="003627AC"/>
    <w:rsid w:val="00362C78"/>
    <w:rsid w:val="00363220"/>
    <w:rsid w:val="003634C1"/>
    <w:rsid w:val="00364C34"/>
    <w:rsid w:val="00366DDB"/>
    <w:rsid w:val="00366F05"/>
    <w:rsid w:val="00367399"/>
    <w:rsid w:val="0037046E"/>
    <w:rsid w:val="00372D20"/>
    <w:rsid w:val="00372E9D"/>
    <w:rsid w:val="00372EFF"/>
    <w:rsid w:val="00373D83"/>
    <w:rsid w:val="003745AB"/>
    <w:rsid w:val="00374CA0"/>
    <w:rsid w:val="003758F0"/>
    <w:rsid w:val="003767C5"/>
    <w:rsid w:val="00377CC7"/>
    <w:rsid w:val="00380275"/>
    <w:rsid w:val="0038070C"/>
    <w:rsid w:val="00381402"/>
    <w:rsid w:val="0038298E"/>
    <w:rsid w:val="003836A7"/>
    <w:rsid w:val="00383704"/>
    <w:rsid w:val="0038496B"/>
    <w:rsid w:val="00386530"/>
    <w:rsid w:val="003866A2"/>
    <w:rsid w:val="00386BEA"/>
    <w:rsid w:val="00387021"/>
    <w:rsid w:val="00387DB7"/>
    <w:rsid w:val="00392190"/>
    <w:rsid w:val="00392C1D"/>
    <w:rsid w:val="00394A37"/>
    <w:rsid w:val="00395BAF"/>
    <w:rsid w:val="00395E5C"/>
    <w:rsid w:val="003963DF"/>
    <w:rsid w:val="003966EB"/>
    <w:rsid w:val="003969FF"/>
    <w:rsid w:val="003978D1"/>
    <w:rsid w:val="00397C5E"/>
    <w:rsid w:val="003A0316"/>
    <w:rsid w:val="003A095A"/>
    <w:rsid w:val="003A1347"/>
    <w:rsid w:val="003A2D87"/>
    <w:rsid w:val="003A36AE"/>
    <w:rsid w:val="003A3D2C"/>
    <w:rsid w:val="003A7C1E"/>
    <w:rsid w:val="003A7DA5"/>
    <w:rsid w:val="003B0065"/>
    <w:rsid w:val="003B0116"/>
    <w:rsid w:val="003B06F2"/>
    <w:rsid w:val="003B35C2"/>
    <w:rsid w:val="003B4C05"/>
    <w:rsid w:val="003B4F42"/>
    <w:rsid w:val="003B5329"/>
    <w:rsid w:val="003B5680"/>
    <w:rsid w:val="003B5C86"/>
    <w:rsid w:val="003B6A57"/>
    <w:rsid w:val="003B7543"/>
    <w:rsid w:val="003C522F"/>
    <w:rsid w:val="003C7608"/>
    <w:rsid w:val="003C7BD9"/>
    <w:rsid w:val="003C7DA4"/>
    <w:rsid w:val="003D1A0A"/>
    <w:rsid w:val="003D320B"/>
    <w:rsid w:val="003D39F1"/>
    <w:rsid w:val="003D7D86"/>
    <w:rsid w:val="003E4363"/>
    <w:rsid w:val="003E4E62"/>
    <w:rsid w:val="003E592F"/>
    <w:rsid w:val="003E70E5"/>
    <w:rsid w:val="003F0CA5"/>
    <w:rsid w:val="003F25E0"/>
    <w:rsid w:val="003F2969"/>
    <w:rsid w:val="003F48FC"/>
    <w:rsid w:val="003F6D34"/>
    <w:rsid w:val="003F73A1"/>
    <w:rsid w:val="0040117A"/>
    <w:rsid w:val="00401C73"/>
    <w:rsid w:val="00401E3C"/>
    <w:rsid w:val="004033B2"/>
    <w:rsid w:val="00403E60"/>
    <w:rsid w:val="00403EF8"/>
    <w:rsid w:val="00405FFA"/>
    <w:rsid w:val="00406562"/>
    <w:rsid w:val="004117CA"/>
    <w:rsid w:val="004126E3"/>
    <w:rsid w:val="00413C8E"/>
    <w:rsid w:val="00414BEF"/>
    <w:rsid w:val="00415A0C"/>
    <w:rsid w:val="0041772D"/>
    <w:rsid w:val="00420A66"/>
    <w:rsid w:val="00420CD5"/>
    <w:rsid w:val="0042201B"/>
    <w:rsid w:val="004229CF"/>
    <w:rsid w:val="00422B3F"/>
    <w:rsid w:val="00423ECD"/>
    <w:rsid w:val="00431621"/>
    <w:rsid w:val="00432934"/>
    <w:rsid w:val="00432CF9"/>
    <w:rsid w:val="0043458F"/>
    <w:rsid w:val="00434928"/>
    <w:rsid w:val="00436536"/>
    <w:rsid w:val="00437A4F"/>
    <w:rsid w:val="00441C5E"/>
    <w:rsid w:val="004449F7"/>
    <w:rsid w:val="00446EB3"/>
    <w:rsid w:val="004502D1"/>
    <w:rsid w:val="004518EA"/>
    <w:rsid w:val="00453F7D"/>
    <w:rsid w:val="0045443A"/>
    <w:rsid w:val="0045452F"/>
    <w:rsid w:val="00455481"/>
    <w:rsid w:val="00456E02"/>
    <w:rsid w:val="0046130B"/>
    <w:rsid w:val="004637F9"/>
    <w:rsid w:val="00463CD6"/>
    <w:rsid w:val="00465AD8"/>
    <w:rsid w:val="004679EC"/>
    <w:rsid w:val="00467B40"/>
    <w:rsid w:val="00470903"/>
    <w:rsid w:val="0047129E"/>
    <w:rsid w:val="0047157F"/>
    <w:rsid w:val="0047364B"/>
    <w:rsid w:val="00475703"/>
    <w:rsid w:val="00475875"/>
    <w:rsid w:val="004759B8"/>
    <w:rsid w:val="00483288"/>
    <w:rsid w:val="0048469D"/>
    <w:rsid w:val="0048563D"/>
    <w:rsid w:val="00487AE0"/>
    <w:rsid w:val="0049096B"/>
    <w:rsid w:val="00490AA0"/>
    <w:rsid w:val="00495DEF"/>
    <w:rsid w:val="00497D3A"/>
    <w:rsid w:val="004A1C8D"/>
    <w:rsid w:val="004A4874"/>
    <w:rsid w:val="004A5417"/>
    <w:rsid w:val="004A63BA"/>
    <w:rsid w:val="004A65F6"/>
    <w:rsid w:val="004A78B4"/>
    <w:rsid w:val="004A7DB2"/>
    <w:rsid w:val="004B1C90"/>
    <w:rsid w:val="004B5399"/>
    <w:rsid w:val="004B55AB"/>
    <w:rsid w:val="004B5E3D"/>
    <w:rsid w:val="004C07F8"/>
    <w:rsid w:val="004C2E70"/>
    <w:rsid w:val="004C35A6"/>
    <w:rsid w:val="004C5A5A"/>
    <w:rsid w:val="004C775A"/>
    <w:rsid w:val="004D2565"/>
    <w:rsid w:val="004D2C6B"/>
    <w:rsid w:val="004D420E"/>
    <w:rsid w:val="004D4CBC"/>
    <w:rsid w:val="004D5C43"/>
    <w:rsid w:val="004D5C7A"/>
    <w:rsid w:val="004D690F"/>
    <w:rsid w:val="004D7A0F"/>
    <w:rsid w:val="004E0E2B"/>
    <w:rsid w:val="004E109A"/>
    <w:rsid w:val="004E3E59"/>
    <w:rsid w:val="004E4304"/>
    <w:rsid w:val="004E4E19"/>
    <w:rsid w:val="004E524E"/>
    <w:rsid w:val="004E5E9D"/>
    <w:rsid w:val="004E6287"/>
    <w:rsid w:val="004E62C5"/>
    <w:rsid w:val="004E6F84"/>
    <w:rsid w:val="004F4E98"/>
    <w:rsid w:val="004F50F6"/>
    <w:rsid w:val="004F5B8D"/>
    <w:rsid w:val="00500112"/>
    <w:rsid w:val="00500F67"/>
    <w:rsid w:val="00503454"/>
    <w:rsid w:val="00504599"/>
    <w:rsid w:val="00505079"/>
    <w:rsid w:val="00506002"/>
    <w:rsid w:val="005076D2"/>
    <w:rsid w:val="00507CE3"/>
    <w:rsid w:val="00507F3F"/>
    <w:rsid w:val="0051002D"/>
    <w:rsid w:val="00510C97"/>
    <w:rsid w:val="00511402"/>
    <w:rsid w:val="00511C97"/>
    <w:rsid w:val="00511E73"/>
    <w:rsid w:val="005129E3"/>
    <w:rsid w:val="00512DC8"/>
    <w:rsid w:val="005136CA"/>
    <w:rsid w:val="00516630"/>
    <w:rsid w:val="005202BB"/>
    <w:rsid w:val="0052080D"/>
    <w:rsid w:val="005230A0"/>
    <w:rsid w:val="00524F64"/>
    <w:rsid w:val="005251F0"/>
    <w:rsid w:val="005257CF"/>
    <w:rsid w:val="0052644B"/>
    <w:rsid w:val="005264B7"/>
    <w:rsid w:val="0052657B"/>
    <w:rsid w:val="00527A0F"/>
    <w:rsid w:val="005313C9"/>
    <w:rsid w:val="00534778"/>
    <w:rsid w:val="005350C9"/>
    <w:rsid w:val="00537093"/>
    <w:rsid w:val="00537B9E"/>
    <w:rsid w:val="0054043D"/>
    <w:rsid w:val="005406CC"/>
    <w:rsid w:val="00540E0E"/>
    <w:rsid w:val="00543F07"/>
    <w:rsid w:val="00545530"/>
    <w:rsid w:val="00545823"/>
    <w:rsid w:val="00545866"/>
    <w:rsid w:val="005501F6"/>
    <w:rsid w:val="005513CC"/>
    <w:rsid w:val="00551B7C"/>
    <w:rsid w:val="0055248F"/>
    <w:rsid w:val="0055272F"/>
    <w:rsid w:val="005538D8"/>
    <w:rsid w:val="005604F2"/>
    <w:rsid w:val="00561450"/>
    <w:rsid w:val="005621F3"/>
    <w:rsid w:val="0056456A"/>
    <w:rsid w:val="0056728E"/>
    <w:rsid w:val="005679C7"/>
    <w:rsid w:val="00570163"/>
    <w:rsid w:val="005706B8"/>
    <w:rsid w:val="00570B06"/>
    <w:rsid w:val="005718E0"/>
    <w:rsid w:val="00572A61"/>
    <w:rsid w:val="0057430C"/>
    <w:rsid w:val="005752F0"/>
    <w:rsid w:val="00575945"/>
    <w:rsid w:val="00580B44"/>
    <w:rsid w:val="00580F12"/>
    <w:rsid w:val="00581B66"/>
    <w:rsid w:val="00584DE8"/>
    <w:rsid w:val="00587585"/>
    <w:rsid w:val="00587EB5"/>
    <w:rsid w:val="00590A1A"/>
    <w:rsid w:val="00591302"/>
    <w:rsid w:val="00591693"/>
    <w:rsid w:val="00593609"/>
    <w:rsid w:val="00597B65"/>
    <w:rsid w:val="005A36A7"/>
    <w:rsid w:val="005A4CE0"/>
    <w:rsid w:val="005A5B36"/>
    <w:rsid w:val="005A5E99"/>
    <w:rsid w:val="005B2B77"/>
    <w:rsid w:val="005B2C0E"/>
    <w:rsid w:val="005B4BF5"/>
    <w:rsid w:val="005B5AFF"/>
    <w:rsid w:val="005B5EC3"/>
    <w:rsid w:val="005B6F45"/>
    <w:rsid w:val="005B6F81"/>
    <w:rsid w:val="005C0552"/>
    <w:rsid w:val="005C45BB"/>
    <w:rsid w:val="005C478C"/>
    <w:rsid w:val="005C58D4"/>
    <w:rsid w:val="005C6587"/>
    <w:rsid w:val="005C67FE"/>
    <w:rsid w:val="005C6E91"/>
    <w:rsid w:val="005D154A"/>
    <w:rsid w:val="005D3FB3"/>
    <w:rsid w:val="005D7CD5"/>
    <w:rsid w:val="005E05FE"/>
    <w:rsid w:val="005E09CD"/>
    <w:rsid w:val="005E1F1D"/>
    <w:rsid w:val="005E2FBB"/>
    <w:rsid w:val="005E39E3"/>
    <w:rsid w:val="005E3C9B"/>
    <w:rsid w:val="005E4302"/>
    <w:rsid w:val="005E46CF"/>
    <w:rsid w:val="005E4909"/>
    <w:rsid w:val="005E4F77"/>
    <w:rsid w:val="005E6F80"/>
    <w:rsid w:val="005E73AE"/>
    <w:rsid w:val="005E75E3"/>
    <w:rsid w:val="005E7ABB"/>
    <w:rsid w:val="005F1541"/>
    <w:rsid w:val="005F20F0"/>
    <w:rsid w:val="005F3492"/>
    <w:rsid w:val="005F37CA"/>
    <w:rsid w:val="005F5B9C"/>
    <w:rsid w:val="005F5E43"/>
    <w:rsid w:val="005F7FA3"/>
    <w:rsid w:val="006014B6"/>
    <w:rsid w:val="00602BCF"/>
    <w:rsid w:val="0060419F"/>
    <w:rsid w:val="00605C18"/>
    <w:rsid w:val="0060683A"/>
    <w:rsid w:val="0061069C"/>
    <w:rsid w:val="00610790"/>
    <w:rsid w:val="00614E77"/>
    <w:rsid w:val="006156A9"/>
    <w:rsid w:val="006235BF"/>
    <w:rsid w:val="0062456E"/>
    <w:rsid w:val="00626CCE"/>
    <w:rsid w:val="0062734F"/>
    <w:rsid w:val="00630DD1"/>
    <w:rsid w:val="00634665"/>
    <w:rsid w:val="00634FE3"/>
    <w:rsid w:val="00635B39"/>
    <w:rsid w:val="00635EE6"/>
    <w:rsid w:val="006406C7"/>
    <w:rsid w:val="00641160"/>
    <w:rsid w:val="006440E6"/>
    <w:rsid w:val="0064438C"/>
    <w:rsid w:val="006444BB"/>
    <w:rsid w:val="006445BB"/>
    <w:rsid w:val="0065007F"/>
    <w:rsid w:val="00650FE5"/>
    <w:rsid w:val="006521C4"/>
    <w:rsid w:val="006528EE"/>
    <w:rsid w:val="00655CAD"/>
    <w:rsid w:val="0065685A"/>
    <w:rsid w:val="00657364"/>
    <w:rsid w:val="00657A31"/>
    <w:rsid w:val="00661078"/>
    <w:rsid w:val="00661EF8"/>
    <w:rsid w:val="0066218B"/>
    <w:rsid w:val="00663DC3"/>
    <w:rsid w:val="006669F1"/>
    <w:rsid w:val="00671ACB"/>
    <w:rsid w:val="00672E64"/>
    <w:rsid w:val="00676CB1"/>
    <w:rsid w:val="00676DCA"/>
    <w:rsid w:val="00681806"/>
    <w:rsid w:val="006826B0"/>
    <w:rsid w:val="006834F4"/>
    <w:rsid w:val="006854A5"/>
    <w:rsid w:val="00687FF1"/>
    <w:rsid w:val="0069048B"/>
    <w:rsid w:val="006907E9"/>
    <w:rsid w:val="00691CE0"/>
    <w:rsid w:val="006961AC"/>
    <w:rsid w:val="006975E1"/>
    <w:rsid w:val="006A0875"/>
    <w:rsid w:val="006A1E20"/>
    <w:rsid w:val="006A2216"/>
    <w:rsid w:val="006A2BCA"/>
    <w:rsid w:val="006A36C5"/>
    <w:rsid w:val="006A393A"/>
    <w:rsid w:val="006A5294"/>
    <w:rsid w:val="006A5752"/>
    <w:rsid w:val="006A5A78"/>
    <w:rsid w:val="006A69AB"/>
    <w:rsid w:val="006A7ABC"/>
    <w:rsid w:val="006A7FF3"/>
    <w:rsid w:val="006B0491"/>
    <w:rsid w:val="006B0EA0"/>
    <w:rsid w:val="006B47EA"/>
    <w:rsid w:val="006B521C"/>
    <w:rsid w:val="006B55DD"/>
    <w:rsid w:val="006C1E31"/>
    <w:rsid w:val="006C1F8C"/>
    <w:rsid w:val="006C242B"/>
    <w:rsid w:val="006D125F"/>
    <w:rsid w:val="006D14CB"/>
    <w:rsid w:val="006D3A94"/>
    <w:rsid w:val="006D4039"/>
    <w:rsid w:val="006D5747"/>
    <w:rsid w:val="006D619C"/>
    <w:rsid w:val="006D6D0F"/>
    <w:rsid w:val="006D7FDB"/>
    <w:rsid w:val="006E0681"/>
    <w:rsid w:val="006E17D1"/>
    <w:rsid w:val="006E50DF"/>
    <w:rsid w:val="006E5A92"/>
    <w:rsid w:val="006F6047"/>
    <w:rsid w:val="006F647D"/>
    <w:rsid w:val="006F7457"/>
    <w:rsid w:val="006F77DC"/>
    <w:rsid w:val="0070269E"/>
    <w:rsid w:val="007061A0"/>
    <w:rsid w:val="0071264B"/>
    <w:rsid w:val="0071409D"/>
    <w:rsid w:val="00716340"/>
    <w:rsid w:val="00717FEF"/>
    <w:rsid w:val="007200CC"/>
    <w:rsid w:val="00721A72"/>
    <w:rsid w:val="00722EA8"/>
    <w:rsid w:val="00723E3F"/>
    <w:rsid w:val="00726133"/>
    <w:rsid w:val="00726B82"/>
    <w:rsid w:val="00727389"/>
    <w:rsid w:val="00727D06"/>
    <w:rsid w:val="00730ACE"/>
    <w:rsid w:val="007318F0"/>
    <w:rsid w:val="0073329B"/>
    <w:rsid w:val="007341E4"/>
    <w:rsid w:val="00735297"/>
    <w:rsid w:val="00735B0C"/>
    <w:rsid w:val="00735E0F"/>
    <w:rsid w:val="00736821"/>
    <w:rsid w:val="00737672"/>
    <w:rsid w:val="007401AD"/>
    <w:rsid w:val="00741EEF"/>
    <w:rsid w:val="00742E73"/>
    <w:rsid w:val="0075400D"/>
    <w:rsid w:val="007540A1"/>
    <w:rsid w:val="0075515B"/>
    <w:rsid w:val="007559FE"/>
    <w:rsid w:val="00755BB1"/>
    <w:rsid w:val="0075772A"/>
    <w:rsid w:val="0076133A"/>
    <w:rsid w:val="00761712"/>
    <w:rsid w:val="00762717"/>
    <w:rsid w:val="007647AA"/>
    <w:rsid w:val="00766147"/>
    <w:rsid w:val="00767B10"/>
    <w:rsid w:val="00767C6A"/>
    <w:rsid w:val="0077008B"/>
    <w:rsid w:val="00770290"/>
    <w:rsid w:val="00770C8E"/>
    <w:rsid w:val="00771153"/>
    <w:rsid w:val="0077352B"/>
    <w:rsid w:val="00774C25"/>
    <w:rsid w:val="00781FA3"/>
    <w:rsid w:val="0078349F"/>
    <w:rsid w:val="00790940"/>
    <w:rsid w:val="00790CAA"/>
    <w:rsid w:val="007928CC"/>
    <w:rsid w:val="00793307"/>
    <w:rsid w:val="00794775"/>
    <w:rsid w:val="00797FB2"/>
    <w:rsid w:val="007A2A89"/>
    <w:rsid w:val="007A2E6E"/>
    <w:rsid w:val="007A302E"/>
    <w:rsid w:val="007A3423"/>
    <w:rsid w:val="007A3F06"/>
    <w:rsid w:val="007A5588"/>
    <w:rsid w:val="007A608C"/>
    <w:rsid w:val="007A6D7E"/>
    <w:rsid w:val="007A7D59"/>
    <w:rsid w:val="007B1E1C"/>
    <w:rsid w:val="007B2903"/>
    <w:rsid w:val="007B2A4C"/>
    <w:rsid w:val="007B3542"/>
    <w:rsid w:val="007B5322"/>
    <w:rsid w:val="007B5560"/>
    <w:rsid w:val="007B6F5D"/>
    <w:rsid w:val="007C0597"/>
    <w:rsid w:val="007C0C0F"/>
    <w:rsid w:val="007C163A"/>
    <w:rsid w:val="007C37F9"/>
    <w:rsid w:val="007C3E5E"/>
    <w:rsid w:val="007C5824"/>
    <w:rsid w:val="007C5BB3"/>
    <w:rsid w:val="007C66B1"/>
    <w:rsid w:val="007C6A4A"/>
    <w:rsid w:val="007C723D"/>
    <w:rsid w:val="007D03F4"/>
    <w:rsid w:val="007D4428"/>
    <w:rsid w:val="007D47BE"/>
    <w:rsid w:val="007D4D35"/>
    <w:rsid w:val="007D5C43"/>
    <w:rsid w:val="007D5FE0"/>
    <w:rsid w:val="007D7634"/>
    <w:rsid w:val="007D7674"/>
    <w:rsid w:val="007D7C8D"/>
    <w:rsid w:val="007E367A"/>
    <w:rsid w:val="007E5B73"/>
    <w:rsid w:val="007E7236"/>
    <w:rsid w:val="007E7680"/>
    <w:rsid w:val="007E7B54"/>
    <w:rsid w:val="007E7EE0"/>
    <w:rsid w:val="007F0C79"/>
    <w:rsid w:val="007F0C7B"/>
    <w:rsid w:val="007F1907"/>
    <w:rsid w:val="007F1F01"/>
    <w:rsid w:val="007F2C76"/>
    <w:rsid w:val="007F4981"/>
    <w:rsid w:val="007F5BE5"/>
    <w:rsid w:val="007F5E2B"/>
    <w:rsid w:val="007F655C"/>
    <w:rsid w:val="007F69A7"/>
    <w:rsid w:val="007F6C7F"/>
    <w:rsid w:val="0080042D"/>
    <w:rsid w:val="00800930"/>
    <w:rsid w:val="0080200C"/>
    <w:rsid w:val="0080405D"/>
    <w:rsid w:val="00804118"/>
    <w:rsid w:val="008060FE"/>
    <w:rsid w:val="00806357"/>
    <w:rsid w:val="00807774"/>
    <w:rsid w:val="00811B28"/>
    <w:rsid w:val="008145E6"/>
    <w:rsid w:val="00814D33"/>
    <w:rsid w:val="00815016"/>
    <w:rsid w:val="00817B9D"/>
    <w:rsid w:val="00820007"/>
    <w:rsid w:val="00820E10"/>
    <w:rsid w:val="008213CC"/>
    <w:rsid w:val="00824706"/>
    <w:rsid w:val="00825D7E"/>
    <w:rsid w:val="00832D8C"/>
    <w:rsid w:val="00840121"/>
    <w:rsid w:val="008407F1"/>
    <w:rsid w:val="00843A49"/>
    <w:rsid w:val="00843D59"/>
    <w:rsid w:val="00845301"/>
    <w:rsid w:val="0084631A"/>
    <w:rsid w:val="00851D89"/>
    <w:rsid w:val="00851E34"/>
    <w:rsid w:val="00854B05"/>
    <w:rsid w:val="00856AFA"/>
    <w:rsid w:val="008577BE"/>
    <w:rsid w:val="00860BEA"/>
    <w:rsid w:val="008630FF"/>
    <w:rsid w:val="00864E98"/>
    <w:rsid w:val="00865B2C"/>
    <w:rsid w:val="00866014"/>
    <w:rsid w:val="00866506"/>
    <w:rsid w:val="008676BE"/>
    <w:rsid w:val="008716E3"/>
    <w:rsid w:val="008745BB"/>
    <w:rsid w:val="008753AF"/>
    <w:rsid w:val="008757BA"/>
    <w:rsid w:val="008815E1"/>
    <w:rsid w:val="00884CF0"/>
    <w:rsid w:val="00885741"/>
    <w:rsid w:val="008857E5"/>
    <w:rsid w:val="00885B6D"/>
    <w:rsid w:val="00890740"/>
    <w:rsid w:val="00891E74"/>
    <w:rsid w:val="008A00BA"/>
    <w:rsid w:val="008A1E14"/>
    <w:rsid w:val="008A244F"/>
    <w:rsid w:val="008A246E"/>
    <w:rsid w:val="008A34D7"/>
    <w:rsid w:val="008A56A1"/>
    <w:rsid w:val="008A665F"/>
    <w:rsid w:val="008A7002"/>
    <w:rsid w:val="008B3FD9"/>
    <w:rsid w:val="008B42A5"/>
    <w:rsid w:val="008B499B"/>
    <w:rsid w:val="008B4E9E"/>
    <w:rsid w:val="008B6CA8"/>
    <w:rsid w:val="008C1CC0"/>
    <w:rsid w:val="008C3277"/>
    <w:rsid w:val="008C3D30"/>
    <w:rsid w:val="008C4F53"/>
    <w:rsid w:val="008C5FFB"/>
    <w:rsid w:val="008C6991"/>
    <w:rsid w:val="008D423E"/>
    <w:rsid w:val="008D75C4"/>
    <w:rsid w:val="008E02F6"/>
    <w:rsid w:val="008E55DE"/>
    <w:rsid w:val="008E5861"/>
    <w:rsid w:val="008E61D0"/>
    <w:rsid w:val="008E6235"/>
    <w:rsid w:val="008E73EA"/>
    <w:rsid w:val="008F06B0"/>
    <w:rsid w:val="008F1153"/>
    <w:rsid w:val="008F1E64"/>
    <w:rsid w:val="008F4D44"/>
    <w:rsid w:val="008F4D4C"/>
    <w:rsid w:val="008F5C26"/>
    <w:rsid w:val="008F5D00"/>
    <w:rsid w:val="0090024B"/>
    <w:rsid w:val="009002E1"/>
    <w:rsid w:val="00901054"/>
    <w:rsid w:val="00901B52"/>
    <w:rsid w:val="00901DB0"/>
    <w:rsid w:val="009028B3"/>
    <w:rsid w:val="00902BBA"/>
    <w:rsid w:val="00902DD3"/>
    <w:rsid w:val="00903A59"/>
    <w:rsid w:val="00904F6F"/>
    <w:rsid w:val="009055A5"/>
    <w:rsid w:val="00911F08"/>
    <w:rsid w:val="00912879"/>
    <w:rsid w:val="00913942"/>
    <w:rsid w:val="0091492E"/>
    <w:rsid w:val="00921CB2"/>
    <w:rsid w:val="00923533"/>
    <w:rsid w:val="0092515E"/>
    <w:rsid w:val="00925FB1"/>
    <w:rsid w:val="0093195C"/>
    <w:rsid w:val="00931DB7"/>
    <w:rsid w:val="00932A73"/>
    <w:rsid w:val="00933C3C"/>
    <w:rsid w:val="0093442E"/>
    <w:rsid w:val="00941214"/>
    <w:rsid w:val="00943A1B"/>
    <w:rsid w:val="00944151"/>
    <w:rsid w:val="00946750"/>
    <w:rsid w:val="00950485"/>
    <w:rsid w:val="00953BBA"/>
    <w:rsid w:val="00954684"/>
    <w:rsid w:val="00954B70"/>
    <w:rsid w:val="00956557"/>
    <w:rsid w:val="00960BEB"/>
    <w:rsid w:val="0096225A"/>
    <w:rsid w:val="00963FF4"/>
    <w:rsid w:val="009640BE"/>
    <w:rsid w:val="00964CEB"/>
    <w:rsid w:val="00965FB7"/>
    <w:rsid w:val="00966CD5"/>
    <w:rsid w:val="0096791F"/>
    <w:rsid w:val="009713BF"/>
    <w:rsid w:val="00971F2C"/>
    <w:rsid w:val="009741F8"/>
    <w:rsid w:val="00974D77"/>
    <w:rsid w:val="00975851"/>
    <w:rsid w:val="00980A87"/>
    <w:rsid w:val="0098133B"/>
    <w:rsid w:val="00981B2A"/>
    <w:rsid w:val="00982156"/>
    <w:rsid w:val="0098315B"/>
    <w:rsid w:val="00984853"/>
    <w:rsid w:val="00984FD8"/>
    <w:rsid w:val="00985B04"/>
    <w:rsid w:val="00986055"/>
    <w:rsid w:val="00986A4C"/>
    <w:rsid w:val="00990A1C"/>
    <w:rsid w:val="00991A83"/>
    <w:rsid w:val="00991EB3"/>
    <w:rsid w:val="0099356C"/>
    <w:rsid w:val="00993DCC"/>
    <w:rsid w:val="00994F09"/>
    <w:rsid w:val="0099514A"/>
    <w:rsid w:val="009967CB"/>
    <w:rsid w:val="00997DF2"/>
    <w:rsid w:val="009A0191"/>
    <w:rsid w:val="009A54DB"/>
    <w:rsid w:val="009A734E"/>
    <w:rsid w:val="009A7814"/>
    <w:rsid w:val="009B16AA"/>
    <w:rsid w:val="009B20A8"/>
    <w:rsid w:val="009B22B3"/>
    <w:rsid w:val="009B293B"/>
    <w:rsid w:val="009B36DB"/>
    <w:rsid w:val="009B3ECA"/>
    <w:rsid w:val="009B4E57"/>
    <w:rsid w:val="009B4EF8"/>
    <w:rsid w:val="009B5AA1"/>
    <w:rsid w:val="009B76A3"/>
    <w:rsid w:val="009C01F4"/>
    <w:rsid w:val="009D11F2"/>
    <w:rsid w:val="009D24BB"/>
    <w:rsid w:val="009D27F4"/>
    <w:rsid w:val="009D2BBA"/>
    <w:rsid w:val="009D3FB8"/>
    <w:rsid w:val="009D4802"/>
    <w:rsid w:val="009D4CF5"/>
    <w:rsid w:val="009D6B2C"/>
    <w:rsid w:val="009D7398"/>
    <w:rsid w:val="009D7F5D"/>
    <w:rsid w:val="009E09F4"/>
    <w:rsid w:val="009E1CD5"/>
    <w:rsid w:val="009E2334"/>
    <w:rsid w:val="009E2503"/>
    <w:rsid w:val="009E4519"/>
    <w:rsid w:val="009E4D92"/>
    <w:rsid w:val="009E5114"/>
    <w:rsid w:val="009E56FA"/>
    <w:rsid w:val="009E5B04"/>
    <w:rsid w:val="009E5C54"/>
    <w:rsid w:val="009E6391"/>
    <w:rsid w:val="009E685D"/>
    <w:rsid w:val="009E7DE0"/>
    <w:rsid w:val="009F0033"/>
    <w:rsid w:val="009F0982"/>
    <w:rsid w:val="009F124F"/>
    <w:rsid w:val="009F2CCC"/>
    <w:rsid w:val="009F69A2"/>
    <w:rsid w:val="009F6C87"/>
    <w:rsid w:val="009F74F4"/>
    <w:rsid w:val="009F7EA3"/>
    <w:rsid w:val="00A0041D"/>
    <w:rsid w:val="00A013F4"/>
    <w:rsid w:val="00A048DC"/>
    <w:rsid w:val="00A052E9"/>
    <w:rsid w:val="00A10FA5"/>
    <w:rsid w:val="00A11055"/>
    <w:rsid w:val="00A14345"/>
    <w:rsid w:val="00A148D4"/>
    <w:rsid w:val="00A14A8A"/>
    <w:rsid w:val="00A150AB"/>
    <w:rsid w:val="00A157E5"/>
    <w:rsid w:val="00A2161B"/>
    <w:rsid w:val="00A22FA4"/>
    <w:rsid w:val="00A2419F"/>
    <w:rsid w:val="00A26126"/>
    <w:rsid w:val="00A27381"/>
    <w:rsid w:val="00A276F0"/>
    <w:rsid w:val="00A31808"/>
    <w:rsid w:val="00A31A9D"/>
    <w:rsid w:val="00A325FC"/>
    <w:rsid w:val="00A32763"/>
    <w:rsid w:val="00A32F2E"/>
    <w:rsid w:val="00A34D90"/>
    <w:rsid w:val="00A34DD3"/>
    <w:rsid w:val="00A35219"/>
    <w:rsid w:val="00A36439"/>
    <w:rsid w:val="00A3697C"/>
    <w:rsid w:val="00A3768A"/>
    <w:rsid w:val="00A40799"/>
    <w:rsid w:val="00A409A1"/>
    <w:rsid w:val="00A40A9C"/>
    <w:rsid w:val="00A473A8"/>
    <w:rsid w:val="00A51014"/>
    <w:rsid w:val="00A52B60"/>
    <w:rsid w:val="00A52FAC"/>
    <w:rsid w:val="00A540F7"/>
    <w:rsid w:val="00A55014"/>
    <w:rsid w:val="00A55148"/>
    <w:rsid w:val="00A55C76"/>
    <w:rsid w:val="00A56722"/>
    <w:rsid w:val="00A57BB7"/>
    <w:rsid w:val="00A57F80"/>
    <w:rsid w:val="00A60168"/>
    <w:rsid w:val="00A612BC"/>
    <w:rsid w:val="00A6292A"/>
    <w:rsid w:val="00A634AC"/>
    <w:rsid w:val="00A65638"/>
    <w:rsid w:val="00A65AFD"/>
    <w:rsid w:val="00A65BDB"/>
    <w:rsid w:val="00A65F39"/>
    <w:rsid w:val="00A65F48"/>
    <w:rsid w:val="00A7153E"/>
    <w:rsid w:val="00A71766"/>
    <w:rsid w:val="00A71884"/>
    <w:rsid w:val="00A718A2"/>
    <w:rsid w:val="00A72739"/>
    <w:rsid w:val="00A72E92"/>
    <w:rsid w:val="00A72F02"/>
    <w:rsid w:val="00A73080"/>
    <w:rsid w:val="00A73D3C"/>
    <w:rsid w:val="00A74C81"/>
    <w:rsid w:val="00A75738"/>
    <w:rsid w:val="00A7676A"/>
    <w:rsid w:val="00A76E72"/>
    <w:rsid w:val="00A77A7B"/>
    <w:rsid w:val="00A80B6D"/>
    <w:rsid w:val="00A8138B"/>
    <w:rsid w:val="00A816CC"/>
    <w:rsid w:val="00A8176B"/>
    <w:rsid w:val="00A81B90"/>
    <w:rsid w:val="00A81E36"/>
    <w:rsid w:val="00A84B46"/>
    <w:rsid w:val="00A86F8F"/>
    <w:rsid w:val="00A9063A"/>
    <w:rsid w:val="00A92E2F"/>
    <w:rsid w:val="00A936B0"/>
    <w:rsid w:val="00A96570"/>
    <w:rsid w:val="00A967E9"/>
    <w:rsid w:val="00AA0E5F"/>
    <w:rsid w:val="00AA33B6"/>
    <w:rsid w:val="00AA4996"/>
    <w:rsid w:val="00AA680B"/>
    <w:rsid w:val="00AA6A54"/>
    <w:rsid w:val="00AB3DBE"/>
    <w:rsid w:val="00AB3EA8"/>
    <w:rsid w:val="00AB575B"/>
    <w:rsid w:val="00AB5F49"/>
    <w:rsid w:val="00AC0AA1"/>
    <w:rsid w:val="00AC0DE5"/>
    <w:rsid w:val="00AC145A"/>
    <w:rsid w:val="00AC1BFF"/>
    <w:rsid w:val="00AC62C0"/>
    <w:rsid w:val="00AC722B"/>
    <w:rsid w:val="00AC751D"/>
    <w:rsid w:val="00AC7B40"/>
    <w:rsid w:val="00AD1BA4"/>
    <w:rsid w:val="00AD6732"/>
    <w:rsid w:val="00AD6F19"/>
    <w:rsid w:val="00AD7A81"/>
    <w:rsid w:val="00AD7C4D"/>
    <w:rsid w:val="00AE1576"/>
    <w:rsid w:val="00AE2124"/>
    <w:rsid w:val="00AE4886"/>
    <w:rsid w:val="00AE52A8"/>
    <w:rsid w:val="00AE549D"/>
    <w:rsid w:val="00AE569D"/>
    <w:rsid w:val="00AE6779"/>
    <w:rsid w:val="00AF07F1"/>
    <w:rsid w:val="00AF10A4"/>
    <w:rsid w:val="00AF323A"/>
    <w:rsid w:val="00AF33AA"/>
    <w:rsid w:val="00AF3C0A"/>
    <w:rsid w:val="00AF6273"/>
    <w:rsid w:val="00AF66BF"/>
    <w:rsid w:val="00AF7EBD"/>
    <w:rsid w:val="00B0027F"/>
    <w:rsid w:val="00B009C3"/>
    <w:rsid w:val="00B00D3D"/>
    <w:rsid w:val="00B00ECD"/>
    <w:rsid w:val="00B04F92"/>
    <w:rsid w:val="00B075A8"/>
    <w:rsid w:val="00B10004"/>
    <w:rsid w:val="00B11EF0"/>
    <w:rsid w:val="00B13BFB"/>
    <w:rsid w:val="00B13D3D"/>
    <w:rsid w:val="00B151B7"/>
    <w:rsid w:val="00B15D5E"/>
    <w:rsid w:val="00B16AE0"/>
    <w:rsid w:val="00B16F5C"/>
    <w:rsid w:val="00B177BF"/>
    <w:rsid w:val="00B17924"/>
    <w:rsid w:val="00B20C6C"/>
    <w:rsid w:val="00B21B91"/>
    <w:rsid w:val="00B21DEF"/>
    <w:rsid w:val="00B227B6"/>
    <w:rsid w:val="00B22E44"/>
    <w:rsid w:val="00B234C0"/>
    <w:rsid w:val="00B24A36"/>
    <w:rsid w:val="00B24D3C"/>
    <w:rsid w:val="00B2557C"/>
    <w:rsid w:val="00B25B9F"/>
    <w:rsid w:val="00B2702C"/>
    <w:rsid w:val="00B27304"/>
    <w:rsid w:val="00B2772B"/>
    <w:rsid w:val="00B31D44"/>
    <w:rsid w:val="00B32449"/>
    <w:rsid w:val="00B3245D"/>
    <w:rsid w:val="00B349DC"/>
    <w:rsid w:val="00B3522E"/>
    <w:rsid w:val="00B35AF7"/>
    <w:rsid w:val="00B36C6B"/>
    <w:rsid w:val="00B4129A"/>
    <w:rsid w:val="00B42658"/>
    <w:rsid w:val="00B454A9"/>
    <w:rsid w:val="00B45D21"/>
    <w:rsid w:val="00B45FA1"/>
    <w:rsid w:val="00B468DC"/>
    <w:rsid w:val="00B475B1"/>
    <w:rsid w:val="00B47A01"/>
    <w:rsid w:val="00B51235"/>
    <w:rsid w:val="00B51502"/>
    <w:rsid w:val="00B51A91"/>
    <w:rsid w:val="00B51D12"/>
    <w:rsid w:val="00B5347F"/>
    <w:rsid w:val="00B539CE"/>
    <w:rsid w:val="00B56A67"/>
    <w:rsid w:val="00B573EB"/>
    <w:rsid w:val="00B605AB"/>
    <w:rsid w:val="00B63BA0"/>
    <w:rsid w:val="00B646F9"/>
    <w:rsid w:val="00B649B0"/>
    <w:rsid w:val="00B64CC7"/>
    <w:rsid w:val="00B65515"/>
    <w:rsid w:val="00B65A14"/>
    <w:rsid w:val="00B67668"/>
    <w:rsid w:val="00B67A3F"/>
    <w:rsid w:val="00B7013E"/>
    <w:rsid w:val="00B71F56"/>
    <w:rsid w:val="00B72D3F"/>
    <w:rsid w:val="00B72F17"/>
    <w:rsid w:val="00B76766"/>
    <w:rsid w:val="00B774E4"/>
    <w:rsid w:val="00B8088E"/>
    <w:rsid w:val="00B82280"/>
    <w:rsid w:val="00B82929"/>
    <w:rsid w:val="00B842E4"/>
    <w:rsid w:val="00B8451D"/>
    <w:rsid w:val="00B84D63"/>
    <w:rsid w:val="00B85139"/>
    <w:rsid w:val="00B85E0A"/>
    <w:rsid w:val="00B86F84"/>
    <w:rsid w:val="00B919C3"/>
    <w:rsid w:val="00B92DB9"/>
    <w:rsid w:val="00B946D8"/>
    <w:rsid w:val="00B9545E"/>
    <w:rsid w:val="00B958A8"/>
    <w:rsid w:val="00B9624E"/>
    <w:rsid w:val="00B96C77"/>
    <w:rsid w:val="00B97D60"/>
    <w:rsid w:val="00B97F57"/>
    <w:rsid w:val="00BA2386"/>
    <w:rsid w:val="00BA2874"/>
    <w:rsid w:val="00BA4673"/>
    <w:rsid w:val="00BA491C"/>
    <w:rsid w:val="00BA53C4"/>
    <w:rsid w:val="00BA5B63"/>
    <w:rsid w:val="00BA75DD"/>
    <w:rsid w:val="00BA7E9A"/>
    <w:rsid w:val="00BB21B3"/>
    <w:rsid w:val="00BB43B8"/>
    <w:rsid w:val="00BB4A73"/>
    <w:rsid w:val="00BB62A8"/>
    <w:rsid w:val="00BB6371"/>
    <w:rsid w:val="00BB6377"/>
    <w:rsid w:val="00BC0A61"/>
    <w:rsid w:val="00BC0AD2"/>
    <w:rsid w:val="00BC0FD1"/>
    <w:rsid w:val="00BC12C2"/>
    <w:rsid w:val="00BC28EE"/>
    <w:rsid w:val="00BC3CE8"/>
    <w:rsid w:val="00BC43F2"/>
    <w:rsid w:val="00BC4FD6"/>
    <w:rsid w:val="00BC5F84"/>
    <w:rsid w:val="00BD15C7"/>
    <w:rsid w:val="00BD3605"/>
    <w:rsid w:val="00BD3B6D"/>
    <w:rsid w:val="00BD49C7"/>
    <w:rsid w:val="00BD4FA7"/>
    <w:rsid w:val="00BD60A3"/>
    <w:rsid w:val="00BD690D"/>
    <w:rsid w:val="00BD73B5"/>
    <w:rsid w:val="00BE283B"/>
    <w:rsid w:val="00BE288A"/>
    <w:rsid w:val="00BE3E95"/>
    <w:rsid w:val="00BE6508"/>
    <w:rsid w:val="00BE6A54"/>
    <w:rsid w:val="00BE6B9A"/>
    <w:rsid w:val="00BF05BE"/>
    <w:rsid w:val="00BF2A89"/>
    <w:rsid w:val="00BF3415"/>
    <w:rsid w:val="00BF482E"/>
    <w:rsid w:val="00BF76FF"/>
    <w:rsid w:val="00C0159F"/>
    <w:rsid w:val="00C01BFA"/>
    <w:rsid w:val="00C03231"/>
    <w:rsid w:val="00C04F89"/>
    <w:rsid w:val="00C05ADB"/>
    <w:rsid w:val="00C05C1F"/>
    <w:rsid w:val="00C070D0"/>
    <w:rsid w:val="00C10ED6"/>
    <w:rsid w:val="00C12B99"/>
    <w:rsid w:val="00C13CCE"/>
    <w:rsid w:val="00C15905"/>
    <w:rsid w:val="00C16233"/>
    <w:rsid w:val="00C17B44"/>
    <w:rsid w:val="00C23A39"/>
    <w:rsid w:val="00C247BB"/>
    <w:rsid w:val="00C25BE8"/>
    <w:rsid w:val="00C32B9C"/>
    <w:rsid w:val="00C33FC4"/>
    <w:rsid w:val="00C342FA"/>
    <w:rsid w:val="00C35199"/>
    <w:rsid w:val="00C36C82"/>
    <w:rsid w:val="00C377A9"/>
    <w:rsid w:val="00C37FA1"/>
    <w:rsid w:val="00C41795"/>
    <w:rsid w:val="00C42432"/>
    <w:rsid w:val="00C4573C"/>
    <w:rsid w:val="00C45D99"/>
    <w:rsid w:val="00C463C7"/>
    <w:rsid w:val="00C51C46"/>
    <w:rsid w:val="00C56093"/>
    <w:rsid w:val="00C5695F"/>
    <w:rsid w:val="00C56D25"/>
    <w:rsid w:val="00C57781"/>
    <w:rsid w:val="00C6121E"/>
    <w:rsid w:val="00C62F05"/>
    <w:rsid w:val="00C6395C"/>
    <w:rsid w:val="00C66EAF"/>
    <w:rsid w:val="00C67135"/>
    <w:rsid w:val="00C71019"/>
    <w:rsid w:val="00C72BB1"/>
    <w:rsid w:val="00C741B6"/>
    <w:rsid w:val="00C74EA3"/>
    <w:rsid w:val="00C7501F"/>
    <w:rsid w:val="00C76120"/>
    <w:rsid w:val="00C762DD"/>
    <w:rsid w:val="00C82C39"/>
    <w:rsid w:val="00C83A63"/>
    <w:rsid w:val="00C84589"/>
    <w:rsid w:val="00C85130"/>
    <w:rsid w:val="00C855E0"/>
    <w:rsid w:val="00C86099"/>
    <w:rsid w:val="00C860CE"/>
    <w:rsid w:val="00C87E5D"/>
    <w:rsid w:val="00C9017B"/>
    <w:rsid w:val="00C90DD2"/>
    <w:rsid w:val="00C92A85"/>
    <w:rsid w:val="00C94370"/>
    <w:rsid w:val="00C9510F"/>
    <w:rsid w:val="00C9545A"/>
    <w:rsid w:val="00C9590B"/>
    <w:rsid w:val="00C960BB"/>
    <w:rsid w:val="00CA3D4C"/>
    <w:rsid w:val="00CB01BC"/>
    <w:rsid w:val="00CB070D"/>
    <w:rsid w:val="00CB1025"/>
    <w:rsid w:val="00CB17E6"/>
    <w:rsid w:val="00CB22DB"/>
    <w:rsid w:val="00CB550E"/>
    <w:rsid w:val="00CB562F"/>
    <w:rsid w:val="00CC3DEE"/>
    <w:rsid w:val="00CC4DD3"/>
    <w:rsid w:val="00CC5F47"/>
    <w:rsid w:val="00CC7D25"/>
    <w:rsid w:val="00CD1134"/>
    <w:rsid w:val="00CD17E5"/>
    <w:rsid w:val="00CD5744"/>
    <w:rsid w:val="00CE1D48"/>
    <w:rsid w:val="00CE1F39"/>
    <w:rsid w:val="00CE1F3C"/>
    <w:rsid w:val="00CE224C"/>
    <w:rsid w:val="00CE3054"/>
    <w:rsid w:val="00CE41F9"/>
    <w:rsid w:val="00CE4979"/>
    <w:rsid w:val="00CE62B2"/>
    <w:rsid w:val="00CE6D8F"/>
    <w:rsid w:val="00CE76D6"/>
    <w:rsid w:val="00CE7FCA"/>
    <w:rsid w:val="00CF1022"/>
    <w:rsid w:val="00CF2517"/>
    <w:rsid w:val="00CF36BB"/>
    <w:rsid w:val="00CF5E06"/>
    <w:rsid w:val="00CF6187"/>
    <w:rsid w:val="00CF659B"/>
    <w:rsid w:val="00CF69C6"/>
    <w:rsid w:val="00D000B0"/>
    <w:rsid w:val="00D007E5"/>
    <w:rsid w:val="00D024CC"/>
    <w:rsid w:val="00D029F1"/>
    <w:rsid w:val="00D05745"/>
    <w:rsid w:val="00D05C5E"/>
    <w:rsid w:val="00D1059E"/>
    <w:rsid w:val="00D114B4"/>
    <w:rsid w:val="00D13B14"/>
    <w:rsid w:val="00D143D9"/>
    <w:rsid w:val="00D14417"/>
    <w:rsid w:val="00D20588"/>
    <w:rsid w:val="00D205D3"/>
    <w:rsid w:val="00D20899"/>
    <w:rsid w:val="00D2453F"/>
    <w:rsid w:val="00D24998"/>
    <w:rsid w:val="00D26BA7"/>
    <w:rsid w:val="00D26CA6"/>
    <w:rsid w:val="00D27E82"/>
    <w:rsid w:val="00D3086E"/>
    <w:rsid w:val="00D32734"/>
    <w:rsid w:val="00D33426"/>
    <w:rsid w:val="00D33CA5"/>
    <w:rsid w:val="00D34FF1"/>
    <w:rsid w:val="00D3719C"/>
    <w:rsid w:val="00D37448"/>
    <w:rsid w:val="00D37A7A"/>
    <w:rsid w:val="00D414C8"/>
    <w:rsid w:val="00D4213E"/>
    <w:rsid w:val="00D42309"/>
    <w:rsid w:val="00D4238A"/>
    <w:rsid w:val="00D42580"/>
    <w:rsid w:val="00D43482"/>
    <w:rsid w:val="00D46586"/>
    <w:rsid w:val="00D525F2"/>
    <w:rsid w:val="00D54118"/>
    <w:rsid w:val="00D5462F"/>
    <w:rsid w:val="00D55183"/>
    <w:rsid w:val="00D55602"/>
    <w:rsid w:val="00D605B1"/>
    <w:rsid w:val="00D61FDA"/>
    <w:rsid w:val="00D62473"/>
    <w:rsid w:val="00D62B1A"/>
    <w:rsid w:val="00D63386"/>
    <w:rsid w:val="00D633F9"/>
    <w:rsid w:val="00D638FC"/>
    <w:rsid w:val="00D64E92"/>
    <w:rsid w:val="00D66506"/>
    <w:rsid w:val="00D66A08"/>
    <w:rsid w:val="00D66D93"/>
    <w:rsid w:val="00D6767E"/>
    <w:rsid w:val="00D709C0"/>
    <w:rsid w:val="00D710FD"/>
    <w:rsid w:val="00D728FB"/>
    <w:rsid w:val="00D74CA3"/>
    <w:rsid w:val="00D76FE7"/>
    <w:rsid w:val="00D80568"/>
    <w:rsid w:val="00D80975"/>
    <w:rsid w:val="00D814A0"/>
    <w:rsid w:val="00D869E0"/>
    <w:rsid w:val="00D90A4E"/>
    <w:rsid w:val="00D92CD2"/>
    <w:rsid w:val="00D939A7"/>
    <w:rsid w:val="00D94873"/>
    <w:rsid w:val="00D95816"/>
    <w:rsid w:val="00D969F1"/>
    <w:rsid w:val="00D96C60"/>
    <w:rsid w:val="00D96D0C"/>
    <w:rsid w:val="00DA0813"/>
    <w:rsid w:val="00DA336E"/>
    <w:rsid w:val="00DA3FD7"/>
    <w:rsid w:val="00DA41FD"/>
    <w:rsid w:val="00DA458F"/>
    <w:rsid w:val="00DA46FA"/>
    <w:rsid w:val="00DA5ADA"/>
    <w:rsid w:val="00DA6317"/>
    <w:rsid w:val="00DB0FCE"/>
    <w:rsid w:val="00DB18A2"/>
    <w:rsid w:val="00DB28F2"/>
    <w:rsid w:val="00DB2F4F"/>
    <w:rsid w:val="00DB2FA2"/>
    <w:rsid w:val="00DB31F5"/>
    <w:rsid w:val="00DB3703"/>
    <w:rsid w:val="00DB50C0"/>
    <w:rsid w:val="00DB5CC2"/>
    <w:rsid w:val="00DB5D64"/>
    <w:rsid w:val="00DC0D79"/>
    <w:rsid w:val="00DC0F24"/>
    <w:rsid w:val="00DC1024"/>
    <w:rsid w:val="00DC11A8"/>
    <w:rsid w:val="00DC2E67"/>
    <w:rsid w:val="00DC306C"/>
    <w:rsid w:val="00DC7BC6"/>
    <w:rsid w:val="00DC7CD0"/>
    <w:rsid w:val="00DC7FF6"/>
    <w:rsid w:val="00DD4AA1"/>
    <w:rsid w:val="00DD5E0D"/>
    <w:rsid w:val="00DD5E7B"/>
    <w:rsid w:val="00DE112E"/>
    <w:rsid w:val="00DE489F"/>
    <w:rsid w:val="00DE521B"/>
    <w:rsid w:val="00DF5D09"/>
    <w:rsid w:val="00E02474"/>
    <w:rsid w:val="00E02E3B"/>
    <w:rsid w:val="00E04466"/>
    <w:rsid w:val="00E10AD8"/>
    <w:rsid w:val="00E11A4B"/>
    <w:rsid w:val="00E132CE"/>
    <w:rsid w:val="00E1347F"/>
    <w:rsid w:val="00E13A3D"/>
    <w:rsid w:val="00E13E07"/>
    <w:rsid w:val="00E154DE"/>
    <w:rsid w:val="00E15C52"/>
    <w:rsid w:val="00E15E57"/>
    <w:rsid w:val="00E16EB2"/>
    <w:rsid w:val="00E17388"/>
    <w:rsid w:val="00E1759B"/>
    <w:rsid w:val="00E2031F"/>
    <w:rsid w:val="00E20976"/>
    <w:rsid w:val="00E20C39"/>
    <w:rsid w:val="00E216A4"/>
    <w:rsid w:val="00E2291C"/>
    <w:rsid w:val="00E2585E"/>
    <w:rsid w:val="00E25D1A"/>
    <w:rsid w:val="00E266CF"/>
    <w:rsid w:val="00E2688C"/>
    <w:rsid w:val="00E316F7"/>
    <w:rsid w:val="00E32962"/>
    <w:rsid w:val="00E33554"/>
    <w:rsid w:val="00E34377"/>
    <w:rsid w:val="00E34C63"/>
    <w:rsid w:val="00E34EE3"/>
    <w:rsid w:val="00E351D2"/>
    <w:rsid w:val="00E36066"/>
    <w:rsid w:val="00E364F0"/>
    <w:rsid w:val="00E3693A"/>
    <w:rsid w:val="00E37522"/>
    <w:rsid w:val="00E40667"/>
    <w:rsid w:val="00E4242C"/>
    <w:rsid w:val="00E42874"/>
    <w:rsid w:val="00E42C7F"/>
    <w:rsid w:val="00E432CB"/>
    <w:rsid w:val="00E46ABF"/>
    <w:rsid w:val="00E46AC9"/>
    <w:rsid w:val="00E525DD"/>
    <w:rsid w:val="00E52CEA"/>
    <w:rsid w:val="00E53CC2"/>
    <w:rsid w:val="00E54148"/>
    <w:rsid w:val="00E54D23"/>
    <w:rsid w:val="00E55D9E"/>
    <w:rsid w:val="00E5647C"/>
    <w:rsid w:val="00E56BFB"/>
    <w:rsid w:val="00E56E43"/>
    <w:rsid w:val="00E57FE1"/>
    <w:rsid w:val="00E6057D"/>
    <w:rsid w:val="00E61B96"/>
    <w:rsid w:val="00E65759"/>
    <w:rsid w:val="00E659A8"/>
    <w:rsid w:val="00E6742B"/>
    <w:rsid w:val="00E676E4"/>
    <w:rsid w:val="00E70E0F"/>
    <w:rsid w:val="00E71CFB"/>
    <w:rsid w:val="00E74F0A"/>
    <w:rsid w:val="00E757D0"/>
    <w:rsid w:val="00E7638C"/>
    <w:rsid w:val="00E76D4B"/>
    <w:rsid w:val="00E77901"/>
    <w:rsid w:val="00E829FB"/>
    <w:rsid w:val="00E84006"/>
    <w:rsid w:val="00E850BB"/>
    <w:rsid w:val="00E855D3"/>
    <w:rsid w:val="00E903AD"/>
    <w:rsid w:val="00E91DB1"/>
    <w:rsid w:val="00E921BD"/>
    <w:rsid w:val="00E924FA"/>
    <w:rsid w:val="00E93C0C"/>
    <w:rsid w:val="00E9538A"/>
    <w:rsid w:val="00EA04FD"/>
    <w:rsid w:val="00EA06D6"/>
    <w:rsid w:val="00EA37E1"/>
    <w:rsid w:val="00EA3A27"/>
    <w:rsid w:val="00EA4E3F"/>
    <w:rsid w:val="00EA69E3"/>
    <w:rsid w:val="00EA6C8F"/>
    <w:rsid w:val="00EA777F"/>
    <w:rsid w:val="00EB1234"/>
    <w:rsid w:val="00EB1969"/>
    <w:rsid w:val="00EB2329"/>
    <w:rsid w:val="00EB26C2"/>
    <w:rsid w:val="00EB2A07"/>
    <w:rsid w:val="00EB475E"/>
    <w:rsid w:val="00EB69B7"/>
    <w:rsid w:val="00EB6A9E"/>
    <w:rsid w:val="00EC2456"/>
    <w:rsid w:val="00EC41BC"/>
    <w:rsid w:val="00EC5FE6"/>
    <w:rsid w:val="00EC7806"/>
    <w:rsid w:val="00EC7889"/>
    <w:rsid w:val="00ED12C1"/>
    <w:rsid w:val="00ED1D99"/>
    <w:rsid w:val="00ED1FFF"/>
    <w:rsid w:val="00ED232C"/>
    <w:rsid w:val="00ED23A8"/>
    <w:rsid w:val="00ED2B30"/>
    <w:rsid w:val="00ED2DE8"/>
    <w:rsid w:val="00ED4069"/>
    <w:rsid w:val="00EE0681"/>
    <w:rsid w:val="00EE273F"/>
    <w:rsid w:val="00EE388C"/>
    <w:rsid w:val="00EE456C"/>
    <w:rsid w:val="00EE51F5"/>
    <w:rsid w:val="00EE740B"/>
    <w:rsid w:val="00EF071E"/>
    <w:rsid w:val="00EF2F71"/>
    <w:rsid w:val="00EF3DF0"/>
    <w:rsid w:val="00EF5AC9"/>
    <w:rsid w:val="00EF65D9"/>
    <w:rsid w:val="00EF7295"/>
    <w:rsid w:val="00F01431"/>
    <w:rsid w:val="00F02349"/>
    <w:rsid w:val="00F03958"/>
    <w:rsid w:val="00F03EAE"/>
    <w:rsid w:val="00F049F1"/>
    <w:rsid w:val="00F06D61"/>
    <w:rsid w:val="00F07B8E"/>
    <w:rsid w:val="00F124B4"/>
    <w:rsid w:val="00F12A7C"/>
    <w:rsid w:val="00F13A62"/>
    <w:rsid w:val="00F1443E"/>
    <w:rsid w:val="00F17ACF"/>
    <w:rsid w:val="00F21059"/>
    <w:rsid w:val="00F214B7"/>
    <w:rsid w:val="00F21720"/>
    <w:rsid w:val="00F2223B"/>
    <w:rsid w:val="00F24056"/>
    <w:rsid w:val="00F24ACD"/>
    <w:rsid w:val="00F26C29"/>
    <w:rsid w:val="00F3192E"/>
    <w:rsid w:val="00F34BF8"/>
    <w:rsid w:val="00F44021"/>
    <w:rsid w:val="00F44515"/>
    <w:rsid w:val="00F46AE7"/>
    <w:rsid w:val="00F5220C"/>
    <w:rsid w:val="00F52511"/>
    <w:rsid w:val="00F551FC"/>
    <w:rsid w:val="00F55336"/>
    <w:rsid w:val="00F563F7"/>
    <w:rsid w:val="00F57470"/>
    <w:rsid w:val="00F57963"/>
    <w:rsid w:val="00F60B2F"/>
    <w:rsid w:val="00F612BF"/>
    <w:rsid w:val="00F63697"/>
    <w:rsid w:val="00F7048D"/>
    <w:rsid w:val="00F70597"/>
    <w:rsid w:val="00F71D95"/>
    <w:rsid w:val="00F725E3"/>
    <w:rsid w:val="00F73A16"/>
    <w:rsid w:val="00F7455A"/>
    <w:rsid w:val="00F761E3"/>
    <w:rsid w:val="00F76E34"/>
    <w:rsid w:val="00F77B9F"/>
    <w:rsid w:val="00F83754"/>
    <w:rsid w:val="00F853B2"/>
    <w:rsid w:val="00F86507"/>
    <w:rsid w:val="00F91B6E"/>
    <w:rsid w:val="00F925D8"/>
    <w:rsid w:val="00F9292A"/>
    <w:rsid w:val="00F929B8"/>
    <w:rsid w:val="00F93721"/>
    <w:rsid w:val="00F958B1"/>
    <w:rsid w:val="00F96C42"/>
    <w:rsid w:val="00FA0703"/>
    <w:rsid w:val="00FA0CCE"/>
    <w:rsid w:val="00FA10C0"/>
    <w:rsid w:val="00FA21AE"/>
    <w:rsid w:val="00FA3AF4"/>
    <w:rsid w:val="00FA494B"/>
    <w:rsid w:val="00FA6DAC"/>
    <w:rsid w:val="00FB0324"/>
    <w:rsid w:val="00FB124B"/>
    <w:rsid w:val="00FB1EE0"/>
    <w:rsid w:val="00FB3C51"/>
    <w:rsid w:val="00FC067E"/>
    <w:rsid w:val="00FC2421"/>
    <w:rsid w:val="00FC2580"/>
    <w:rsid w:val="00FC3BAA"/>
    <w:rsid w:val="00FC409B"/>
    <w:rsid w:val="00FC434D"/>
    <w:rsid w:val="00FC5B0D"/>
    <w:rsid w:val="00FC6049"/>
    <w:rsid w:val="00FC6612"/>
    <w:rsid w:val="00FC69F2"/>
    <w:rsid w:val="00FC7F53"/>
    <w:rsid w:val="00FD0923"/>
    <w:rsid w:val="00FD22A5"/>
    <w:rsid w:val="00FD2CB9"/>
    <w:rsid w:val="00FD30B3"/>
    <w:rsid w:val="00FD43F7"/>
    <w:rsid w:val="00FD6C94"/>
    <w:rsid w:val="00FD7DB1"/>
    <w:rsid w:val="00FE0B27"/>
    <w:rsid w:val="00FE1544"/>
    <w:rsid w:val="00FE40A2"/>
    <w:rsid w:val="00FE429D"/>
    <w:rsid w:val="00FE6DC1"/>
    <w:rsid w:val="00FF04AB"/>
    <w:rsid w:val="00FF06EB"/>
    <w:rsid w:val="00FF5C84"/>
    <w:rsid w:val="00FF6B7B"/>
    <w:rsid w:val="00FF7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C7BE2A"/>
  <w15:chartTrackingRefBased/>
  <w15:docId w15:val="{6DC8A203-FB9C-443E-A2D1-C1DC40DB7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0">
    <w:name w:val="heading 1"/>
    <w:aliases w:val="NMP Heading 1,H1,h11,h12,h13,h14,h15,h16,app heading 1,l1,Memo Heading 1,Heading 1_a,heading 1,h17,h111,h121,h131,h141,h151,h161,h18,h112,h122,h132,h142,h152,h162,h19,h113,h123,h133,h143,h153,h163"/>
    <w:basedOn w:val="a"/>
    <w:next w:val="a0"/>
    <w:link w:val="11"/>
    <w:qFormat/>
    <w:rsid w:val="00B86F84"/>
    <w:pPr>
      <w:keepNext/>
      <w:widowControl/>
      <w:spacing w:before="360" w:after="120"/>
      <w:jc w:val="left"/>
      <w:outlineLvl w:val="0"/>
    </w:pPr>
    <w:rPr>
      <w:rFonts w:ascii="Arial" w:eastAsia="宋体" w:hAnsi="Arial" w:cs="Arial"/>
      <w:b/>
      <w:bCs/>
      <w:kern w:val="32"/>
      <w:sz w:val="28"/>
      <w:szCs w:val="32"/>
    </w:rPr>
  </w:style>
  <w:style w:type="paragraph" w:styleId="2">
    <w:name w:val="heading 2"/>
    <w:aliases w:val="H2,h2,Head2A,2,UNDERRUBRIK 1-2,DO NOT USE_h2,h21,Heading 2 Char,H2 Char,h2 Char"/>
    <w:basedOn w:val="a"/>
    <w:next w:val="a0"/>
    <w:link w:val="20"/>
    <w:qFormat/>
    <w:rsid w:val="00B86F84"/>
    <w:pPr>
      <w:keepNext/>
      <w:widowControl/>
      <w:spacing w:before="240" w:after="60"/>
      <w:jc w:val="left"/>
      <w:outlineLvl w:val="1"/>
    </w:pPr>
    <w:rPr>
      <w:rFonts w:ascii="Arial" w:eastAsia="MS Mincho" w:hAnsi="Arial" w:cs="Arial"/>
      <w:b/>
      <w:bCs/>
      <w:iCs/>
      <w:kern w:val="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6F84"/>
    <w:pPr>
      <w:keepNext/>
      <w:widowControl/>
      <w:tabs>
        <w:tab w:val="left" w:pos="-5500"/>
      </w:tabs>
      <w:spacing w:before="240" w:after="60"/>
      <w:jc w:val="left"/>
      <w:outlineLvl w:val="2"/>
    </w:pPr>
    <w:rPr>
      <w:rFonts w:ascii="Arial" w:eastAsia="MS Mincho" w:hAnsi="Arial" w:cs="Arial"/>
      <w:b/>
      <w:bCs/>
      <w:kern w:val="0"/>
      <w:sz w:val="26"/>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6F84"/>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
    <w:name w:val="heading 5"/>
    <w:basedOn w:val="a"/>
    <w:next w:val="a"/>
    <w:link w:val="50"/>
    <w:uiPriority w:val="9"/>
    <w:semiHidden/>
    <w:unhideWhenUsed/>
    <w:qFormat/>
    <w:rsid w:val="007D7674"/>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条目,Caption Char2,Caption Char Char Char,Caption Char Char1,fig and tbl,fighead2,Table Caption,fighead21,fighead22,fighead23"/>
    <w:basedOn w:val="a"/>
    <w:next w:val="a"/>
    <w:link w:val="a5"/>
    <w:qFormat/>
    <w:rsid w:val="00BA2386"/>
    <w:pPr>
      <w:widowControl/>
      <w:overflowPunct w:val="0"/>
      <w:autoSpaceDE w:val="0"/>
      <w:autoSpaceDN w:val="0"/>
      <w:adjustRightInd w:val="0"/>
      <w:spacing w:before="120" w:after="120"/>
      <w:jc w:val="left"/>
      <w:textAlignment w:val="baseline"/>
    </w:pPr>
    <w:rPr>
      <w:rFonts w:eastAsia="Times New Roman"/>
      <w:b/>
      <w:lang w:val="en-GB" w:eastAsia="en-US"/>
    </w:rPr>
  </w:style>
  <w:style w:type="character" w:customStyle="1" w:styleId="a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4"/>
    <w:qFormat/>
    <w:rsid w:val="00BA2386"/>
    <w:rPr>
      <w:rFonts w:eastAsia="Times New Roman"/>
      <w:b/>
      <w:lang w:val="en-GB" w:eastAsia="en-US"/>
    </w:rPr>
  </w:style>
  <w:style w:type="paragraph" w:customStyle="1" w:styleId="1">
    <w:name w:val="样式1"/>
    <w:basedOn w:val="a6"/>
    <w:link w:val="12"/>
    <w:qFormat/>
    <w:rsid w:val="009D4802"/>
    <w:pPr>
      <w:numPr>
        <w:numId w:val="1"/>
      </w:numPr>
      <w:ind w:left="900" w:firstLineChars="0" w:hanging="420"/>
    </w:pPr>
    <w:rPr>
      <w:rFonts w:asciiTheme="minorEastAsia" w:hAnsiTheme="minorEastAsia"/>
      <w:sz w:val="24"/>
      <w:szCs w:val="24"/>
    </w:rPr>
  </w:style>
  <w:style w:type="character" w:customStyle="1" w:styleId="12">
    <w:name w:val="样式1 字符"/>
    <w:basedOn w:val="a1"/>
    <w:link w:val="1"/>
    <w:rsid w:val="009D4802"/>
    <w:rPr>
      <w:rFonts w:asciiTheme="minorEastAsia" w:hAnsiTheme="minorEastAsia"/>
      <w:sz w:val="24"/>
      <w:szCs w:val="24"/>
    </w:rPr>
  </w:style>
  <w:style w:type="paragraph" w:styleId="a6">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B,列,列表段"/>
    <w:basedOn w:val="a"/>
    <w:link w:val="a7"/>
    <w:uiPriority w:val="34"/>
    <w:qFormat/>
    <w:rsid w:val="009D4802"/>
    <w:pPr>
      <w:ind w:firstLineChars="200" w:firstLine="420"/>
    </w:p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rsid w:val="00B86F84"/>
    <w:rPr>
      <w:rFonts w:ascii="Arial" w:eastAsia="宋体" w:hAnsi="Arial" w:cs="Arial"/>
      <w:b/>
      <w:bCs/>
      <w:kern w:val="32"/>
      <w:sz w:val="28"/>
      <w:szCs w:val="32"/>
    </w:rPr>
  </w:style>
  <w:style w:type="character" w:customStyle="1" w:styleId="20">
    <w:name w:val="标题 2 字符"/>
    <w:aliases w:val="H2 字符,h2 字符,Head2A 字符,2 字符,UNDERRUBRIK 1-2 字符,DO NOT USE_h2 字符,h21 字符,Heading 2 Char 字符,H2 Char 字符,h2 Char 字符"/>
    <w:basedOn w:val="a1"/>
    <w:link w:val="2"/>
    <w:rsid w:val="00B86F84"/>
    <w:rPr>
      <w:rFonts w:ascii="Arial" w:eastAsia="MS Mincho" w:hAnsi="Arial" w:cs="Arial"/>
      <w:b/>
      <w:bCs/>
      <w:iCs/>
      <w:kern w:val="0"/>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86F84"/>
    <w:rPr>
      <w:rFonts w:ascii="Arial" w:eastAsia="MS Mincho" w:hAnsi="Arial" w:cs="Arial"/>
      <w:b/>
      <w:bCs/>
      <w:kern w:val="0"/>
      <w:sz w:val="26"/>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B86F84"/>
    <w:rPr>
      <w:rFonts w:ascii="CG Times (WN)" w:eastAsia="MS Mincho" w:hAnsi="CG Times (WN)" w:cs="Times New Roman"/>
      <w:b/>
      <w:bCs/>
      <w:kern w:val="0"/>
      <w:sz w:val="28"/>
      <w:szCs w:val="28"/>
      <w:lang w:eastAsia="en-US"/>
    </w:rPr>
  </w:style>
  <w:style w:type="character" w:customStyle="1" w:styleId="a7">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6"/>
    <w:uiPriority w:val="34"/>
    <w:qFormat/>
    <w:locked/>
    <w:rsid w:val="00B86F84"/>
  </w:style>
  <w:style w:type="paragraph" w:styleId="a0">
    <w:name w:val="Body Text"/>
    <w:basedOn w:val="a"/>
    <w:link w:val="a8"/>
    <w:uiPriority w:val="99"/>
    <w:unhideWhenUsed/>
    <w:rsid w:val="00B86F84"/>
    <w:pPr>
      <w:spacing w:after="120"/>
    </w:pPr>
  </w:style>
  <w:style w:type="character" w:customStyle="1" w:styleId="a8">
    <w:name w:val="正文文本 字符"/>
    <w:basedOn w:val="a1"/>
    <w:link w:val="a0"/>
    <w:uiPriority w:val="99"/>
    <w:rsid w:val="00B86F84"/>
  </w:style>
  <w:style w:type="character" w:customStyle="1" w:styleId="B1">
    <w:name w:val="B1 (文字)"/>
    <w:link w:val="B10"/>
    <w:rsid w:val="0037046E"/>
    <w:rPr>
      <w:rFonts w:eastAsia="Times New Roman"/>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qFormat/>
    <w:rsid w:val="0037046E"/>
    <w:rPr>
      <w:rFonts w:ascii="Arial" w:eastAsia="MS Mincho" w:hAnsi="Arial"/>
      <w:b/>
      <w:szCs w:val="24"/>
      <w:lang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qFormat/>
    <w:rsid w:val="0037046E"/>
    <w:pPr>
      <w:widowControl/>
      <w:tabs>
        <w:tab w:val="center" w:pos="4536"/>
        <w:tab w:val="right" w:pos="9072"/>
      </w:tabs>
      <w:jc w:val="left"/>
    </w:pPr>
    <w:rPr>
      <w:rFonts w:ascii="Arial" w:eastAsia="MS Mincho" w:hAnsi="Arial"/>
      <w:b/>
      <w:szCs w:val="24"/>
      <w:lang w:eastAsia="en-US"/>
    </w:rPr>
  </w:style>
  <w:style w:type="character" w:customStyle="1" w:styleId="13">
    <w:name w:val="页眉 字符1"/>
    <w:basedOn w:val="a1"/>
    <w:uiPriority w:val="99"/>
    <w:semiHidden/>
    <w:rsid w:val="0037046E"/>
    <w:rPr>
      <w:sz w:val="18"/>
      <w:szCs w:val="18"/>
    </w:rPr>
  </w:style>
  <w:style w:type="paragraph" w:customStyle="1" w:styleId="B10">
    <w:name w:val="B1"/>
    <w:basedOn w:val="ab"/>
    <w:link w:val="B1"/>
    <w:qFormat/>
    <w:rsid w:val="0037046E"/>
    <w:pPr>
      <w:widowControl/>
      <w:overflowPunct w:val="0"/>
      <w:autoSpaceDE w:val="0"/>
      <w:autoSpaceDN w:val="0"/>
      <w:adjustRightInd w:val="0"/>
      <w:spacing w:after="180"/>
      <w:ind w:left="568" w:firstLineChars="0" w:hanging="284"/>
      <w:contextualSpacing w:val="0"/>
      <w:jc w:val="left"/>
      <w:textAlignment w:val="baseline"/>
    </w:pPr>
    <w:rPr>
      <w:rFonts w:eastAsia="Times New Roman"/>
      <w:lang w:val="en-GB" w:eastAsia="en-GB"/>
    </w:rPr>
  </w:style>
  <w:style w:type="paragraph" w:styleId="ab">
    <w:name w:val="List"/>
    <w:basedOn w:val="a"/>
    <w:uiPriority w:val="99"/>
    <w:semiHidden/>
    <w:unhideWhenUsed/>
    <w:rsid w:val="0037046E"/>
    <w:pPr>
      <w:ind w:left="200" w:hangingChars="200" w:hanging="200"/>
      <w:contextualSpacing/>
    </w:pPr>
  </w:style>
  <w:style w:type="character" w:customStyle="1" w:styleId="21">
    <w:name w:val="题注 字符2"/>
    <w:rsid w:val="002F5E90"/>
    <w:rPr>
      <w:lang w:val="en-GB" w:eastAsia="en-US" w:bidi="ar-SA"/>
    </w:rPr>
  </w:style>
  <w:style w:type="paragraph" w:styleId="ac">
    <w:name w:val="footer"/>
    <w:basedOn w:val="a"/>
    <w:link w:val="ad"/>
    <w:uiPriority w:val="99"/>
    <w:unhideWhenUsed/>
    <w:rsid w:val="00204D92"/>
    <w:pPr>
      <w:tabs>
        <w:tab w:val="center" w:pos="4153"/>
        <w:tab w:val="right" w:pos="8306"/>
      </w:tabs>
      <w:snapToGrid w:val="0"/>
      <w:jc w:val="left"/>
    </w:pPr>
    <w:rPr>
      <w:sz w:val="18"/>
      <w:szCs w:val="18"/>
    </w:rPr>
  </w:style>
  <w:style w:type="character" w:customStyle="1" w:styleId="ad">
    <w:name w:val="页脚 字符"/>
    <w:basedOn w:val="a1"/>
    <w:link w:val="ac"/>
    <w:uiPriority w:val="99"/>
    <w:rsid w:val="00204D92"/>
    <w:rPr>
      <w:sz w:val="18"/>
      <w:szCs w:val="18"/>
    </w:rPr>
  </w:style>
  <w:style w:type="character" w:customStyle="1" w:styleId="B1Char1">
    <w:name w:val="B1 Char1"/>
    <w:locked/>
    <w:rsid w:val="00D4238A"/>
    <w:rPr>
      <w:lang w:val="en-GB" w:eastAsia="en-GB"/>
    </w:rPr>
  </w:style>
  <w:style w:type="paragraph" w:styleId="ae">
    <w:name w:val="Balloon Text"/>
    <w:basedOn w:val="a"/>
    <w:link w:val="af"/>
    <w:uiPriority w:val="99"/>
    <w:semiHidden/>
    <w:unhideWhenUsed/>
    <w:rsid w:val="00D4238A"/>
    <w:rPr>
      <w:sz w:val="18"/>
      <w:szCs w:val="18"/>
    </w:rPr>
  </w:style>
  <w:style w:type="character" w:customStyle="1" w:styleId="af">
    <w:name w:val="批注框文本 字符"/>
    <w:basedOn w:val="a1"/>
    <w:link w:val="ae"/>
    <w:uiPriority w:val="99"/>
    <w:semiHidden/>
    <w:rsid w:val="00D4238A"/>
    <w:rPr>
      <w:sz w:val="18"/>
      <w:szCs w:val="18"/>
    </w:rPr>
  </w:style>
  <w:style w:type="table" w:styleId="af0">
    <w:name w:val="Table Grid"/>
    <w:basedOn w:val="a2"/>
    <w:uiPriority w:val="39"/>
    <w:qFormat/>
    <w:rsid w:val="003B0116"/>
    <w:rPr>
      <w:rFonts w:ascii="CG Times (WN)" w:eastAsia="宋体"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1"/>
    <w:uiPriority w:val="99"/>
    <w:semiHidden/>
    <w:unhideWhenUsed/>
    <w:rsid w:val="00A27381"/>
    <w:rPr>
      <w:sz w:val="16"/>
      <w:szCs w:val="16"/>
    </w:rPr>
  </w:style>
  <w:style w:type="paragraph" w:styleId="af2">
    <w:name w:val="annotation text"/>
    <w:basedOn w:val="a"/>
    <w:link w:val="af3"/>
    <w:unhideWhenUsed/>
    <w:qFormat/>
    <w:rsid w:val="00A27381"/>
    <w:rPr>
      <w:szCs w:val="20"/>
    </w:rPr>
  </w:style>
  <w:style w:type="character" w:customStyle="1" w:styleId="af3">
    <w:name w:val="批注文字 字符"/>
    <w:basedOn w:val="a1"/>
    <w:link w:val="af2"/>
    <w:uiPriority w:val="99"/>
    <w:qFormat/>
    <w:rsid w:val="00A27381"/>
    <w:rPr>
      <w:szCs w:val="20"/>
    </w:rPr>
  </w:style>
  <w:style w:type="paragraph" w:styleId="af4">
    <w:name w:val="annotation subject"/>
    <w:basedOn w:val="af2"/>
    <w:next w:val="af2"/>
    <w:link w:val="af5"/>
    <w:uiPriority w:val="99"/>
    <w:semiHidden/>
    <w:unhideWhenUsed/>
    <w:rsid w:val="00A27381"/>
    <w:rPr>
      <w:b/>
      <w:bCs/>
    </w:rPr>
  </w:style>
  <w:style w:type="character" w:customStyle="1" w:styleId="af5">
    <w:name w:val="批注主题 字符"/>
    <w:basedOn w:val="af3"/>
    <w:link w:val="af4"/>
    <w:uiPriority w:val="99"/>
    <w:semiHidden/>
    <w:rsid w:val="00A27381"/>
    <w:rPr>
      <w:b/>
      <w:bCs/>
      <w:szCs w:val="20"/>
    </w:rPr>
  </w:style>
  <w:style w:type="paragraph" w:customStyle="1" w:styleId="TdocHeader1">
    <w:name w:val="Tdoc_Header_1"/>
    <w:basedOn w:val="aa"/>
    <w:rsid w:val="007A6D7E"/>
    <w:pPr>
      <w:widowControl w:val="0"/>
      <w:tabs>
        <w:tab w:val="clear" w:pos="4536"/>
        <w:tab w:val="right" w:pos="10206"/>
      </w:tabs>
      <w:jc w:val="both"/>
    </w:pPr>
    <w:rPr>
      <w:rFonts w:eastAsia="Batang" w:cs="Times New Roman"/>
      <w:kern w:val="0"/>
      <w:szCs w:val="20"/>
      <w:lang w:val="en-GB"/>
    </w:rPr>
  </w:style>
  <w:style w:type="paragraph" w:customStyle="1" w:styleId="Char">
    <w:name w:val="Char"/>
    <w:rsid w:val="007A6D7E"/>
    <w:pPr>
      <w:keepNext/>
      <w:numPr>
        <w:numId w:val="5"/>
      </w:numPr>
      <w:autoSpaceDE w:val="0"/>
      <w:autoSpaceDN w:val="0"/>
      <w:adjustRightInd w:val="0"/>
      <w:spacing w:before="60" w:after="60"/>
      <w:jc w:val="both"/>
    </w:pPr>
    <w:rPr>
      <w:rFonts w:ascii="Arial" w:eastAsia="宋体" w:hAnsi="Arial" w:cs="Arial"/>
      <w:color w:val="0000FF"/>
      <w:szCs w:val="20"/>
    </w:rPr>
  </w:style>
  <w:style w:type="character" w:customStyle="1" w:styleId="14">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7A6D7E"/>
    <w:rPr>
      <w:rFonts w:eastAsia="宋体"/>
      <w:lang w:eastAsia="ja-JP"/>
    </w:rPr>
  </w:style>
  <w:style w:type="paragraph" w:customStyle="1" w:styleId="berschrift3h3H3Underrubrik2">
    <w:name w:val="Überschrift 3.h3.H3.Underrubrik2"/>
    <w:basedOn w:val="2"/>
    <w:next w:val="a"/>
    <w:rsid w:val="007A6D7E"/>
    <w:pPr>
      <w:keepLines/>
      <w:numPr>
        <w:ilvl w:val="1"/>
        <w:numId w:val="5"/>
      </w:numPr>
      <w:spacing w:before="120" w:after="180"/>
      <w:outlineLvl w:val="2"/>
    </w:pPr>
    <w:rPr>
      <w:rFonts w:cs="Times New Roman"/>
      <w:b w:val="0"/>
      <w:bCs w:val="0"/>
      <w:iCs w:val="0"/>
      <w:sz w:val="28"/>
      <w:szCs w:val="20"/>
      <w:lang w:val="en-GB" w:eastAsia="de-DE"/>
    </w:rPr>
  </w:style>
  <w:style w:type="numbering" w:customStyle="1" w:styleId="StyleBulletedSymbolsymbolLeft025Hanging02531">
    <w:name w:val="Style Bulleted Symbol (symbol) Left:  0.25&quot; Hanging:  0.25&quot;31"/>
    <w:basedOn w:val="a3"/>
    <w:rsid w:val="007A6D7E"/>
    <w:pPr>
      <w:numPr>
        <w:numId w:val="5"/>
      </w:numPr>
    </w:pPr>
  </w:style>
  <w:style w:type="paragraph" w:customStyle="1" w:styleId="3GPPH3">
    <w:name w:val="3GPP H3"/>
    <w:basedOn w:val="3"/>
    <w:next w:val="a"/>
    <w:qFormat/>
    <w:rsid w:val="007A6D7E"/>
    <w:pPr>
      <w:keepLines/>
      <w:numPr>
        <w:ilvl w:val="2"/>
        <w:numId w:val="5"/>
      </w:numPr>
      <w:tabs>
        <w:tab w:val="clear" w:pos="-5500"/>
        <w:tab w:val="num" w:pos="0"/>
      </w:tabs>
      <w:overflowPunct w:val="0"/>
      <w:autoSpaceDE w:val="0"/>
      <w:autoSpaceDN w:val="0"/>
      <w:adjustRightInd w:val="0"/>
      <w:spacing w:before="120" w:after="120"/>
      <w:ind w:left="709" w:hanging="709"/>
      <w:textAlignment w:val="baseline"/>
    </w:pPr>
    <w:rPr>
      <w:rFonts w:eastAsia="宋体" w:cs="Times New Roman"/>
      <w:b w:val="0"/>
      <w:bCs w:val="0"/>
      <w:sz w:val="28"/>
      <w:szCs w:val="20"/>
      <w:lang w:eastAsia="en-US"/>
    </w:rPr>
  </w:style>
  <w:style w:type="paragraph" w:styleId="af6">
    <w:name w:val="Revision"/>
    <w:hidden/>
    <w:uiPriority w:val="99"/>
    <w:semiHidden/>
    <w:rsid w:val="00856AFA"/>
  </w:style>
  <w:style w:type="paragraph" w:styleId="af7">
    <w:name w:val="Normal (Web)"/>
    <w:basedOn w:val="a"/>
    <w:uiPriority w:val="99"/>
    <w:semiHidden/>
    <w:unhideWhenUsed/>
    <w:rsid w:val="00E13A3D"/>
    <w:pPr>
      <w:widowControl/>
      <w:spacing w:before="100" w:beforeAutospacing="1" w:after="100" w:afterAutospacing="1"/>
      <w:jc w:val="left"/>
    </w:pPr>
    <w:rPr>
      <w:rFonts w:ascii="宋体" w:eastAsia="宋体" w:hAnsi="宋体" w:cs="宋体"/>
      <w:kern w:val="0"/>
      <w:sz w:val="24"/>
      <w:szCs w:val="24"/>
    </w:rPr>
  </w:style>
  <w:style w:type="paragraph" w:styleId="TOC1">
    <w:name w:val="toc 1"/>
    <w:next w:val="a"/>
    <w:semiHidden/>
    <w:qFormat/>
    <w:rsid w:val="0090024B"/>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宋体" w:cs="Times New Roman"/>
      <w:kern w:val="0"/>
      <w:sz w:val="22"/>
      <w:szCs w:val="20"/>
      <w:lang w:eastAsia="en-US"/>
    </w:rPr>
  </w:style>
  <w:style w:type="paragraph" w:customStyle="1" w:styleId="TAH">
    <w:name w:val="TAH"/>
    <w:basedOn w:val="TAC"/>
    <w:link w:val="TAHCar"/>
    <w:qFormat/>
    <w:rsid w:val="0090024B"/>
    <w:rPr>
      <w:b/>
    </w:rPr>
  </w:style>
  <w:style w:type="paragraph" w:customStyle="1" w:styleId="TAC">
    <w:name w:val="TAC"/>
    <w:basedOn w:val="a"/>
    <w:link w:val="TACChar"/>
    <w:qFormat/>
    <w:rsid w:val="0090024B"/>
    <w:pPr>
      <w:keepNext/>
      <w:keepLines/>
      <w:widowControl/>
      <w:overflowPunct w:val="0"/>
      <w:autoSpaceDE w:val="0"/>
      <w:autoSpaceDN w:val="0"/>
      <w:adjustRightInd w:val="0"/>
      <w:spacing w:line="259" w:lineRule="auto"/>
      <w:jc w:val="center"/>
      <w:textAlignment w:val="baseline"/>
    </w:pPr>
    <w:rPr>
      <w:rFonts w:ascii="Arial" w:eastAsia="宋体" w:hAnsi="Arial" w:cs="Times New Roman"/>
      <w:kern w:val="0"/>
      <w:sz w:val="18"/>
      <w:szCs w:val="20"/>
      <w:lang w:eastAsia="en-US"/>
    </w:rPr>
  </w:style>
  <w:style w:type="character" w:customStyle="1" w:styleId="TACChar">
    <w:name w:val="TAC Char"/>
    <w:link w:val="TAC"/>
    <w:qFormat/>
    <w:locked/>
    <w:rsid w:val="0090024B"/>
    <w:rPr>
      <w:rFonts w:ascii="Arial" w:eastAsia="宋体" w:hAnsi="Arial" w:cs="Times New Roman"/>
      <w:kern w:val="0"/>
      <w:sz w:val="18"/>
      <w:szCs w:val="20"/>
      <w:lang w:eastAsia="en-US"/>
    </w:rPr>
  </w:style>
  <w:style w:type="character" w:customStyle="1" w:styleId="TAHCar">
    <w:name w:val="TAH Car"/>
    <w:link w:val="TAH"/>
    <w:qFormat/>
    <w:locked/>
    <w:rsid w:val="0090024B"/>
    <w:rPr>
      <w:rFonts w:ascii="Arial" w:eastAsia="宋体" w:hAnsi="Arial" w:cs="Times New Roman"/>
      <w:b/>
      <w:kern w:val="0"/>
      <w:sz w:val="18"/>
      <w:szCs w:val="20"/>
      <w:lang w:eastAsia="en-US"/>
    </w:rPr>
  </w:style>
  <w:style w:type="paragraph" w:customStyle="1" w:styleId="TH">
    <w:name w:val="TH"/>
    <w:basedOn w:val="a"/>
    <w:link w:val="THChar"/>
    <w:qFormat/>
    <w:rsid w:val="00403EF8"/>
    <w:pPr>
      <w:keepNext/>
      <w:keepLines/>
      <w:widowControl/>
      <w:spacing w:before="60" w:after="180"/>
      <w:jc w:val="center"/>
    </w:pPr>
    <w:rPr>
      <w:rFonts w:ascii="Arial" w:eastAsia="宋体" w:hAnsi="Arial" w:cs="Times New Roman"/>
      <w:b/>
      <w:kern w:val="0"/>
      <w:szCs w:val="20"/>
      <w:lang w:val="en-GB" w:eastAsia="en-US"/>
    </w:rPr>
  </w:style>
  <w:style w:type="character" w:customStyle="1" w:styleId="THChar">
    <w:name w:val="TH Char"/>
    <w:link w:val="TH"/>
    <w:qFormat/>
    <w:rsid w:val="00403EF8"/>
    <w:rPr>
      <w:rFonts w:ascii="Arial" w:eastAsia="宋体" w:hAnsi="Arial" w:cs="Times New Roman"/>
      <w:b/>
      <w:kern w:val="0"/>
      <w:szCs w:val="20"/>
      <w:lang w:val="en-GB" w:eastAsia="en-US"/>
    </w:rPr>
  </w:style>
  <w:style w:type="character" w:customStyle="1" w:styleId="B1Zchn">
    <w:name w:val="B1 Zchn"/>
    <w:qFormat/>
    <w:rsid w:val="008B499B"/>
    <w:rPr>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3A7C1E"/>
    <w:rPr>
      <w:rFonts w:ascii="Times" w:hAnsi="Times" w:cs="Times"/>
      <w:lang w:eastAsia="x-none"/>
    </w:rPr>
  </w:style>
  <w:style w:type="character" w:customStyle="1" w:styleId="BodyTextChar">
    <w:name w:val="Body Text Char"/>
    <w:aliases w:val="bt Char"/>
    <w:basedOn w:val="a1"/>
    <w:link w:val="15"/>
    <w:locked/>
    <w:rsid w:val="00F958B1"/>
    <w:rPr>
      <w:rFonts w:ascii="Times" w:hAnsi="Times" w:cs="Times"/>
      <w:lang w:eastAsia="x-none"/>
    </w:rPr>
  </w:style>
  <w:style w:type="paragraph" w:customStyle="1" w:styleId="15">
    <w:name w:val="正文文本1"/>
    <w:aliases w:val="bt"/>
    <w:basedOn w:val="a"/>
    <w:link w:val="BodyTextChar"/>
    <w:rsid w:val="00F958B1"/>
    <w:pPr>
      <w:widowControl/>
      <w:spacing w:after="120"/>
    </w:pPr>
    <w:rPr>
      <w:rFonts w:ascii="Times" w:hAnsi="Times" w:cs="Times"/>
      <w:lang w:eastAsia="x-none"/>
    </w:rPr>
  </w:style>
  <w:style w:type="paragraph" w:styleId="TOC3">
    <w:name w:val="toc 3"/>
    <w:basedOn w:val="a"/>
    <w:next w:val="a"/>
    <w:autoRedefine/>
    <w:uiPriority w:val="39"/>
    <w:semiHidden/>
    <w:unhideWhenUsed/>
    <w:rsid w:val="009D6B2C"/>
    <w:pPr>
      <w:ind w:leftChars="400" w:left="840"/>
    </w:pPr>
  </w:style>
  <w:style w:type="character" w:styleId="af8">
    <w:name w:val="Placeholder Text"/>
    <w:basedOn w:val="a1"/>
    <w:uiPriority w:val="99"/>
    <w:semiHidden/>
    <w:rsid w:val="002E4456"/>
    <w:rPr>
      <w:color w:val="808080"/>
    </w:rPr>
  </w:style>
  <w:style w:type="character" w:customStyle="1" w:styleId="50">
    <w:name w:val="标题 5 字符"/>
    <w:basedOn w:val="a1"/>
    <w:link w:val="5"/>
    <w:uiPriority w:val="9"/>
    <w:semiHidden/>
    <w:rsid w:val="007D7674"/>
    <w:rPr>
      <w:b/>
      <w:bCs/>
      <w:sz w:val="28"/>
      <w:szCs w:val="28"/>
    </w:rPr>
  </w:style>
  <w:style w:type="character" w:customStyle="1" w:styleId="B2Char">
    <w:name w:val="B2 Char"/>
    <w:link w:val="B2"/>
    <w:qFormat/>
    <w:locked/>
    <w:rsid w:val="00241303"/>
    <w:rPr>
      <w:lang w:val="x-none" w:eastAsia="en-US"/>
    </w:rPr>
  </w:style>
  <w:style w:type="paragraph" w:customStyle="1" w:styleId="B2">
    <w:name w:val="B2"/>
    <w:basedOn w:val="a"/>
    <w:link w:val="B2Char"/>
    <w:qFormat/>
    <w:rsid w:val="00241303"/>
    <w:pPr>
      <w:widowControl/>
      <w:spacing w:after="180"/>
      <w:ind w:left="851" w:hanging="284"/>
      <w:jc w:val="left"/>
    </w:pPr>
    <w:rPr>
      <w:lang w:val="x-none" w:eastAsia="en-US"/>
    </w:rPr>
  </w:style>
  <w:style w:type="character" w:customStyle="1" w:styleId="B3Char">
    <w:name w:val="B3 Char"/>
    <w:link w:val="B3"/>
    <w:locked/>
    <w:rsid w:val="00241303"/>
    <w:rPr>
      <w:lang w:eastAsia="en-US"/>
    </w:rPr>
  </w:style>
  <w:style w:type="paragraph" w:customStyle="1" w:styleId="B3">
    <w:name w:val="B3"/>
    <w:basedOn w:val="a"/>
    <w:link w:val="B3Char"/>
    <w:rsid w:val="00241303"/>
    <w:pPr>
      <w:widowControl/>
      <w:spacing w:after="180"/>
      <w:ind w:left="1135" w:hanging="284"/>
      <w:jc w:val="left"/>
    </w:pPr>
    <w:rPr>
      <w:lang w:eastAsia="en-US"/>
    </w:rPr>
  </w:style>
  <w:style w:type="character" w:customStyle="1" w:styleId="B4Char">
    <w:name w:val="B4 Char"/>
    <w:link w:val="B4"/>
    <w:locked/>
    <w:rsid w:val="00241303"/>
    <w:rPr>
      <w:lang w:eastAsia="en-US"/>
    </w:rPr>
  </w:style>
  <w:style w:type="paragraph" w:customStyle="1" w:styleId="B4">
    <w:name w:val="B4"/>
    <w:basedOn w:val="a"/>
    <w:link w:val="B4Char"/>
    <w:qFormat/>
    <w:rsid w:val="00241303"/>
    <w:pPr>
      <w:widowControl/>
      <w:spacing w:after="180"/>
      <w:ind w:left="1418" w:hanging="284"/>
      <w:jc w:val="left"/>
    </w:pPr>
    <w:rPr>
      <w:lang w:eastAsia="en-US"/>
    </w:rPr>
  </w:style>
  <w:style w:type="character" w:customStyle="1" w:styleId="B5Char">
    <w:name w:val="B5 Char"/>
    <w:link w:val="B5"/>
    <w:locked/>
    <w:rsid w:val="00241303"/>
    <w:rPr>
      <w:lang w:eastAsia="en-US"/>
    </w:rPr>
  </w:style>
  <w:style w:type="paragraph" w:customStyle="1" w:styleId="B5">
    <w:name w:val="B5"/>
    <w:basedOn w:val="a"/>
    <w:link w:val="B5Char"/>
    <w:qFormat/>
    <w:rsid w:val="00241303"/>
    <w:pPr>
      <w:widowControl/>
      <w:spacing w:after="180"/>
      <w:ind w:left="1702" w:hanging="284"/>
      <w:jc w:val="left"/>
    </w:pPr>
    <w:rPr>
      <w:lang w:eastAsia="en-US"/>
    </w:rPr>
  </w:style>
  <w:style w:type="paragraph" w:customStyle="1" w:styleId="EQ">
    <w:name w:val="EQ"/>
    <w:basedOn w:val="a"/>
    <w:next w:val="a"/>
    <w:qFormat/>
    <w:rsid w:val="0027350B"/>
    <w:pPr>
      <w:keepLines/>
      <w:widowControl/>
      <w:tabs>
        <w:tab w:val="center" w:pos="4536"/>
        <w:tab w:val="right" w:pos="9072"/>
      </w:tabs>
      <w:spacing w:after="180"/>
      <w:jc w:val="left"/>
    </w:pPr>
    <w:rPr>
      <w:rFonts w:eastAsia="宋体" w:cs="Times New Roman"/>
      <w:noProof/>
      <w:kern w:val="0"/>
      <w:szCs w:val="20"/>
      <w:lang w:val="en-GB" w:eastAsia="en-US"/>
    </w:rPr>
  </w:style>
  <w:style w:type="paragraph" w:styleId="af9">
    <w:name w:val="Plain Text"/>
    <w:basedOn w:val="a"/>
    <w:link w:val="afa"/>
    <w:uiPriority w:val="99"/>
    <w:unhideWhenUsed/>
    <w:rsid w:val="00766147"/>
    <w:pPr>
      <w:widowControl/>
      <w:jc w:val="left"/>
    </w:pPr>
    <w:rPr>
      <w:rFonts w:ascii="Arial" w:eastAsia="MS Gothic" w:hAnsi="Arial" w:cs="Times New Roman"/>
      <w:color w:val="000000"/>
      <w:kern w:val="0"/>
      <w:szCs w:val="20"/>
      <w:lang w:val="x-none" w:eastAsia="x-none"/>
    </w:rPr>
  </w:style>
  <w:style w:type="character" w:customStyle="1" w:styleId="afa">
    <w:name w:val="纯文本 字符"/>
    <w:basedOn w:val="a1"/>
    <w:link w:val="af9"/>
    <w:uiPriority w:val="99"/>
    <w:rsid w:val="00766147"/>
    <w:rPr>
      <w:rFonts w:ascii="Arial" w:eastAsia="MS Gothic" w:hAnsi="Arial" w:cs="Times New Roman"/>
      <w:color w:val="000000"/>
      <w:kern w:val="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6007">
      <w:bodyDiv w:val="1"/>
      <w:marLeft w:val="0"/>
      <w:marRight w:val="0"/>
      <w:marTop w:val="0"/>
      <w:marBottom w:val="0"/>
      <w:divBdr>
        <w:top w:val="none" w:sz="0" w:space="0" w:color="auto"/>
        <w:left w:val="none" w:sz="0" w:space="0" w:color="auto"/>
        <w:bottom w:val="none" w:sz="0" w:space="0" w:color="auto"/>
        <w:right w:val="none" w:sz="0" w:space="0" w:color="auto"/>
      </w:divBdr>
    </w:div>
    <w:div w:id="25831886">
      <w:bodyDiv w:val="1"/>
      <w:marLeft w:val="0"/>
      <w:marRight w:val="0"/>
      <w:marTop w:val="0"/>
      <w:marBottom w:val="0"/>
      <w:divBdr>
        <w:top w:val="none" w:sz="0" w:space="0" w:color="auto"/>
        <w:left w:val="none" w:sz="0" w:space="0" w:color="auto"/>
        <w:bottom w:val="none" w:sz="0" w:space="0" w:color="auto"/>
        <w:right w:val="none" w:sz="0" w:space="0" w:color="auto"/>
      </w:divBdr>
    </w:div>
    <w:div w:id="38283595">
      <w:bodyDiv w:val="1"/>
      <w:marLeft w:val="0"/>
      <w:marRight w:val="0"/>
      <w:marTop w:val="0"/>
      <w:marBottom w:val="0"/>
      <w:divBdr>
        <w:top w:val="none" w:sz="0" w:space="0" w:color="auto"/>
        <w:left w:val="none" w:sz="0" w:space="0" w:color="auto"/>
        <w:bottom w:val="none" w:sz="0" w:space="0" w:color="auto"/>
        <w:right w:val="none" w:sz="0" w:space="0" w:color="auto"/>
      </w:divBdr>
    </w:div>
    <w:div w:id="42753528">
      <w:bodyDiv w:val="1"/>
      <w:marLeft w:val="0"/>
      <w:marRight w:val="0"/>
      <w:marTop w:val="0"/>
      <w:marBottom w:val="0"/>
      <w:divBdr>
        <w:top w:val="none" w:sz="0" w:space="0" w:color="auto"/>
        <w:left w:val="none" w:sz="0" w:space="0" w:color="auto"/>
        <w:bottom w:val="none" w:sz="0" w:space="0" w:color="auto"/>
        <w:right w:val="none" w:sz="0" w:space="0" w:color="auto"/>
      </w:divBdr>
    </w:div>
    <w:div w:id="48187107">
      <w:bodyDiv w:val="1"/>
      <w:marLeft w:val="0"/>
      <w:marRight w:val="0"/>
      <w:marTop w:val="0"/>
      <w:marBottom w:val="0"/>
      <w:divBdr>
        <w:top w:val="none" w:sz="0" w:space="0" w:color="auto"/>
        <w:left w:val="none" w:sz="0" w:space="0" w:color="auto"/>
        <w:bottom w:val="none" w:sz="0" w:space="0" w:color="auto"/>
        <w:right w:val="none" w:sz="0" w:space="0" w:color="auto"/>
      </w:divBdr>
    </w:div>
    <w:div w:id="55981493">
      <w:bodyDiv w:val="1"/>
      <w:marLeft w:val="0"/>
      <w:marRight w:val="0"/>
      <w:marTop w:val="0"/>
      <w:marBottom w:val="0"/>
      <w:divBdr>
        <w:top w:val="none" w:sz="0" w:space="0" w:color="auto"/>
        <w:left w:val="none" w:sz="0" w:space="0" w:color="auto"/>
        <w:bottom w:val="none" w:sz="0" w:space="0" w:color="auto"/>
        <w:right w:val="none" w:sz="0" w:space="0" w:color="auto"/>
      </w:divBdr>
    </w:div>
    <w:div w:id="97990855">
      <w:bodyDiv w:val="1"/>
      <w:marLeft w:val="0"/>
      <w:marRight w:val="0"/>
      <w:marTop w:val="0"/>
      <w:marBottom w:val="0"/>
      <w:divBdr>
        <w:top w:val="none" w:sz="0" w:space="0" w:color="auto"/>
        <w:left w:val="none" w:sz="0" w:space="0" w:color="auto"/>
        <w:bottom w:val="none" w:sz="0" w:space="0" w:color="auto"/>
        <w:right w:val="none" w:sz="0" w:space="0" w:color="auto"/>
      </w:divBdr>
    </w:div>
    <w:div w:id="138154538">
      <w:bodyDiv w:val="1"/>
      <w:marLeft w:val="0"/>
      <w:marRight w:val="0"/>
      <w:marTop w:val="0"/>
      <w:marBottom w:val="0"/>
      <w:divBdr>
        <w:top w:val="none" w:sz="0" w:space="0" w:color="auto"/>
        <w:left w:val="none" w:sz="0" w:space="0" w:color="auto"/>
        <w:bottom w:val="none" w:sz="0" w:space="0" w:color="auto"/>
        <w:right w:val="none" w:sz="0" w:space="0" w:color="auto"/>
      </w:divBdr>
    </w:div>
    <w:div w:id="206720199">
      <w:bodyDiv w:val="1"/>
      <w:marLeft w:val="0"/>
      <w:marRight w:val="0"/>
      <w:marTop w:val="0"/>
      <w:marBottom w:val="0"/>
      <w:divBdr>
        <w:top w:val="none" w:sz="0" w:space="0" w:color="auto"/>
        <w:left w:val="none" w:sz="0" w:space="0" w:color="auto"/>
        <w:bottom w:val="none" w:sz="0" w:space="0" w:color="auto"/>
        <w:right w:val="none" w:sz="0" w:space="0" w:color="auto"/>
      </w:divBdr>
    </w:div>
    <w:div w:id="243607455">
      <w:bodyDiv w:val="1"/>
      <w:marLeft w:val="0"/>
      <w:marRight w:val="0"/>
      <w:marTop w:val="0"/>
      <w:marBottom w:val="0"/>
      <w:divBdr>
        <w:top w:val="none" w:sz="0" w:space="0" w:color="auto"/>
        <w:left w:val="none" w:sz="0" w:space="0" w:color="auto"/>
        <w:bottom w:val="none" w:sz="0" w:space="0" w:color="auto"/>
        <w:right w:val="none" w:sz="0" w:space="0" w:color="auto"/>
      </w:divBdr>
    </w:div>
    <w:div w:id="283846602">
      <w:bodyDiv w:val="1"/>
      <w:marLeft w:val="0"/>
      <w:marRight w:val="0"/>
      <w:marTop w:val="0"/>
      <w:marBottom w:val="0"/>
      <w:divBdr>
        <w:top w:val="none" w:sz="0" w:space="0" w:color="auto"/>
        <w:left w:val="none" w:sz="0" w:space="0" w:color="auto"/>
        <w:bottom w:val="none" w:sz="0" w:space="0" w:color="auto"/>
        <w:right w:val="none" w:sz="0" w:space="0" w:color="auto"/>
      </w:divBdr>
    </w:div>
    <w:div w:id="294262424">
      <w:bodyDiv w:val="1"/>
      <w:marLeft w:val="0"/>
      <w:marRight w:val="0"/>
      <w:marTop w:val="0"/>
      <w:marBottom w:val="0"/>
      <w:divBdr>
        <w:top w:val="none" w:sz="0" w:space="0" w:color="auto"/>
        <w:left w:val="none" w:sz="0" w:space="0" w:color="auto"/>
        <w:bottom w:val="none" w:sz="0" w:space="0" w:color="auto"/>
        <w:right w:val="none" w:sz="0" w:space="0" w:color="auto"/>
      </w:divBdr>
    </w:div>
    <w:div w:id="338436325">
      <w:bodyDiv w:val="1"/>
      <w:marLeft w:val="0"/>
      <w:marRight w:val="0"/>
      <w:marTop w:val="0"/>
      <w:marBottom w:val="0"/>
      <w:divBdr>
        <w:top w:val="none" w:sz="0" w:space="0" w:color="auto"/>
        <w:left w:val="none" w:sz="0" w:space="0" w:color="auto"/>
        <w:bottom w:val="none" w:sz="0" w:space="0" w:color="auto"/>
        <w:right w:val="none" w:sz="0" w:space="0" w:color="auto"/>
      </w:divBdr>
    </w:div>
    <w:div w:id="354383803">
      <w:bodyDiv w:val="1"/>
      <w:marLeft w:val="0"/>
      <w:marRight w:val="0"/>
      <w:marTop w:val="0"/>
      <w:marBottom w:val="0"/>
      <w:divBdr>
        <w:top w:val="none" w:sz="0" w:space="0" w:color="auto"/>
        <w:left w:val="none" w:sz="0" w:space="0" w:color="auto"/>
        <w:bottom w:val="none" w:sz="0" w:space="0" w:color="auto"/>
        <w:right w:val="none" w:sz="0" w:space="0" w:color="auto"/>
      </w:divBdr>
    </w:div>
    <w:div w:id="412433200">
      <w:bodyDiv w:val="1"/>
      <w:marLeft w:val="0"/>
      <w:marRight w:val="0"/>
      <w:marTop w:val="0"/>
      <w:marBottom w:val="0"/>
      <w:divBdr>
        <w:top w:val="none" w:sz="0" w:space="0" w:color="auto"/>
        <w:left w:val="none" w:sz="0" w:space="0" w:color="auto"/>
        <w:bottom w:val="none" w:sz="0" w:space="0" w:color="auto"/>
        <w:right w:val="none" w:sz="0" w:space="0" w:color="auto"/>
      </w:divBdr>
      <w:divsChild>
        <w:div w:id="396974713">
          <w:marLeft w:val="1987"/>
          <w:marRight w:val="0"/>
          <w:marTop w:val="0"/>
          <w:marBottom w:val="0"/>
          <w:divBdr>
            <w:top w:val="none" w:sz="0" w:space="0" w:color="auto"/>
            <w:left w:val="none" w:sz="0" w:space="0" w:color="auto"/>
            <w:bottom w:val="none" w:sz="0" w:space="0" w:color="auto"/>
            <w:right w:val="none" w:sz="0" w:space="0" w:color="auto"/>
          </w:divBdr>
        </w:div>
        <w:div w:id="605308949">
          <w:marLeft w:val="1267"/>
          <w:marRight w:val="0"/>
          <w:marTop w:val="0"/>
          <w:marBottom w:val="0"/>
          <w:divBdr>
            <w:top w:val="none" w:sz="0" w:space="0" w:color="auto"/>
            <w:left w:val="none" w:sz="0" w:space="0" w:color="auto"/>
            <w:bottom w:val="none" w:sz="0" w:space="0" w:color="auto"/>
            <w:right w:val="none" w:sz="0" w:space="0" w:color="auto"/>
          </w:divBdr>
        </w:div>
        <w:div w:id="1273320768">
          <w:marLeft w:val="1987"/>
          <w:marRight w:val="0"/>
          <w:marTop w:val="0"/>
          <w:marBottom w:val="0"/>
          <w:divBdr>
            <w:top w:val="none" w:sz="0" w:space="0" w:color="auto"/>
            <w:left w:val="none" w:sz="0" w:space="0" w:color="auto"/>
            <w:bottom w:val="none" w:sz="0" w:space="0" w:color="auto"/>
            <w:right w:val="none" w:sz="0" w:space="0" w:color="auto"/>
          </w:divBdr>
        </w:div>
        <w:div w:id="1837501522">
          <w:marLeft w:val="1987"/>
          <w:marRight w:val="0"/>
          <w:marTop w:val="0"/>
          <w:marBottom w:val="0"/>
          <w:divBdr>
            <w:top w:val="none" w:sz="0" w:space="0" w:color="auto"/>
            <w:left w:val="none" w:sz="0" w:space="0" w:color="auto"/>
            <w:bottom w:val="none" w:sz="0" w:space="0" w:color="auto"/>
            <w:right w:val="none" w:sz="0" w:space="0" w:color="auto"/>
          </w:divBdr>
        </w:div>
      </w:divsChild>
    </w:div>
    <w:div w:id="413891426">
      <w:bodyDiv w:val="1"/>
      <w:marLeft w:val="0"/>
      <w:marRight w:val="0"/>
      <w:marTop w:val="0"/>
      <w:marBottom w:val="0"/>
      <w:divBdr>
        <w:top w:val="none" w:sz="0" w:space="0" w:color="auto"/>
        <w:left w:val="none" w:sz="0" w:space="0" w:color="auto"/>
        <w:bottom w:val="none" w:sz="0" w:space="0" w:color="auto"/>
        <w:right w:val="none" w:sz="0" w:space="0" w:color="auto"/>
      </w:divBdr>
    </w:div>
    <w:div w:id="446461725">
      <w:bodyDiv w:val="1"/>
      <w:marLeft w:val="0"/>
      <w:marRight w:val="0"/>
      <w:marTop w:val="0"/>
      <w:marBottom w:val="0"/>
      <w:divBdr>
        <w:top w:val="none" w:sz="0" w:space="0" w:color="auto"/>
        <w:left w:val="none" w:sz="0" w:space="0" w:color="auto"/>
        <w:bottom w:val="none" w:sz="0" w:space="0" w:color="auto"/>
        <w:right w:val="none" w:sz="0" w:space="0" w:color="auto"/>
      </w:divBdr>
    </w:div>
    <w:div w:id="456215728">
      <w:bodyDiv w:val="1"/>
      <w:marLeft w:val="0"/>
      <w:marRight w:val="0"/>
      <w:marTop w:val="0"/>
      <w:marBottom w:val="0"/>
      <w:divBdr>
        <w:top w:val="none" w:sz="0" w:space="0" w:color="auto"/>
        <w:left w:val="none" w:sz="0" w:space="0" w:color="auto"/>
        <w:bottom w:val="none" w:sz="0" w:space="0" w:color="auto"/>
        <w:right w:val="none" w:sz="0" w:space="0" w:color="auto"/>
      </w:divBdr>
    </w:div>
    <w:div w:id="523057132">
      <w:bodyDiv w:val="1"/>
      <w:marLeft w:val="0"/>
      <w:marRight w:val="0"/>
      <w:marTop w:val="0"/>
      <w:marBottom w:val="0"/>
      <w:divBdr>
        <w:top w:val="none" w:sz="0" w:space="0" w:color="auto"/>
        <w:left w:val="none" w:sz="0" w:space="0" w:color="auto"/>
        <w:bottom w:val="none" w:sz="0" w:space="0" w:color="auto"/>
        <w:right w:val="none" w:sz="0" w:space="0" w:color="auto"/>
      </w:divBdr>
      <w:divsChild>
        <w:div w:id="913473342">
          <w:marLeft w:val="1267"/>
          <w:marRight w:val="0"/>
          <w:marTop w:val="0"/>
          <w:marBottom w:val="0"/>
          <w:divBdr>
            <w:top w:val="none" w:sz="0" w:space="0" w:color="auto"/>
            <w:left w:val="none" w:sz="0" w:space="0" w:color="auto"/>
            <w:bottom w:val="none" w:sz="0" w:space="0" w:color="auto"/>
            <w:right w:val="none" w:sz="0" w:space="0" w:color="auto"/>
          </w:divBdr>
        </w:div>
      </w:divsChild>
    </w:div>
    <w:div w:id="549195911">
      <w:bodyDiv w:val="1"/>
      <w:marLeft w:val="0"/>
      <w:marRight w:val="0"/>
      <w:marTop w:val="0"/>
      <w:marBottom w:val="0"/>
      <w:divBdr>
        <w:top w:val="none" w:sz="0" w:space="0" w:color="auto"/>
        <w:left w:val="none" w:sz="0" w:space="0" w:color="auto"/>
        <w:bottom w:val="none" w:sz="0" w:space="0" w:color="auto"/>
        <w:right w:val="none" w:sz="0" w:space="0" w:color="auto"/>
      </w:divBdr>
    </w:div>
    <w:div w:id="555091420">
      <w:bodyDiv w:val="1"/>
      <w:marLeft w:val="0"/>
      <w:marRight w:val="0"/>
      <w:marTop w:val="0"/>
      <w:marBottom w:val="0"/>
      <w:divBdr>
        <w:top w:val="none" w:sz="0" w:space="0" w:color="auto"/>
        <w:left w:val="none" w:sz="0" w:space="0" w:color="auto"/>
        <w:bottom w:val="none" w:sz="0" w:space="0" w:color="auto"/>
        <w:right w:val="none" w:sz="0" w:space="0" w:color="auto"/>
      </w:divBdr>
    </w:div>
    <w:div w:id="561251400">
      <w:bodyDiv w:val="1"/>
      <w:marLeft w:val="0"/>
      <w:marRight w:val="0"/>
      <w:marTop w:val="0"/>
      <w:marBottom w:val="0"/>
      <w:divBdr>
        <w:top w:val="none" w:sz="0" w:space="0" w:color="auto"/>
        <w:left w:val="none" w:sz="0" w:space="0" w:color="auto"/>
        <w:bottom w:val="none" w:sz="0" w:space="0" w:color="auto"/>
        <w:right w:val="none" w:sz="0" w:space="0" w:color="auto"/>
      </w:divBdr>
    </w:div>
    <w:div w:id="563830807">
      <w:bodyDiv w:val="1"/>
      <w:marLeft w:val="0"/>
      <w:marRight w:val="0"/>
      <w:marTop w:val="0"/>
      <w:marBottom w:val="0"/>
      <w:divBdr>
        <w:top w:val="none" w:sz="0" w:space="0" w:color="auto"/>
        <w:left w:val="none" w:sz="0" w:space="0" w:color="auto"/>
        <w:bottom w:val="none" w:sz="0" w:space="0" w:color="auto"/>
        <w:right w:val="none" w:sz="0" w:space="0" w:color="auto"/>
      </w:divBdr>
    </w:div>
    <w:div w:id="582760259">
      <w:bodyDiv w:val="1"/>
      <w:marLeft w:val="0"/>
      <w:marRight w:val="0"/>
      <w:marTop w:val="0"/>
      <w:marBottom w:val="0"/>
      <w:divBdr>
        <w:top w:val="none" w:sz="0" w:space="0" w:color="auto"/>
        <w:left w:val="none" w:sz="0" w:space="0" w:color="auto"/>
        <w:bottom w:val="none" w:sz="0" w:space="0" w:color="auto"/>
        <w:right w:val="none" w:sz="0" w:space="0" w:color="auto"/>
      </w:divBdr>
    </w:div>
    <w:div w:id="627399874">
      <w:bodyDiv w:val="1"/>
      <w:marLeft w:val="0"/>
      <w:marRight w:val="0"/>
      <w:marTop w:val="0"/>
      <w:marBottom w:val="0"/>
      <w:divBdr>
        <w:top w:val="none" w:sz="0" w:space="0" w:color="auto"/>
        <w:left w:val="none" w:sz="0" w:space="0" w:color="auto"/>
        <w:bottom w:val="none" w:sz="0" w:space="0" w:color="auto"/>
        <w:right w:val="none" w:sz="0" w:space="0" w:color="auto"/>
      </w:divBdr>
    </w:div>
    <w:div w:id="672336710">
      <w:bodyDiv w:val="1"/>
      <w:marLeft w:val="0"/>
      <w:marRight w:val="0"/>
      <w:marTop w:val="0"/>
      <w:marBottom w:val="0"/>
      <w:divBdr>
        <w:top w:val="none" w:sz="0" w:space="0" w:color="auto"/>
        <w:left w:val="none" w:sz="0" w:space="0" w:color="auto"/>
        <w:bottom w:val="none" w:sz="0" w:space="0" w:color="auto"/>
        <w:right w:val="none" w:sz="0" w:space="0" w:color="auto"/>
      </w:divBdr>
    </w:div>
    <w:div w:id="741563762">
      <w:bodyDiv w:val="1"/>
      <w:marLeft w:val="0"/>
      <w:marRight w:val="0"/>
      <w:marTop w:val="0"/>
      <w:marBottom w:val="0"/>
      <w:divBdr>
        <w:top w:val="none" w:sz="0" w:space="0" w:color="auto"/>
        <w:left w:val="none" w:sz="0" w:space="0" w:color="auto"/>
        <w:bottom w:val="none" w:sz="0" w:space="0" w:color="auto"/>
        <w:right w:val="none" w:sz="0" w:space="0" w:color="auto"/>
      </w:divBdr>
    </w:div>
    <w:div w:id="741870973">
      <w:bodyDiv w:val="1"/>
      <w:marLeft w:val="0"/>
      <w:marRight w:val="0"/>
      <w:marTop w:val="0"/>
      <w:marBottom w:val="0"/>
      <w:divBdr>
        <w:top w:val="none" w:sz="0" w:space="0" w:color="auto"/>
        <w:left w:val="none" w:sz="0" w:space="0" w:color="auto"/>
        <w:bottom w:val="none" w:sz="0" w:space="0" w:color="auto"/>
        <w:right w:val="none" w:sz="0" w:space="0" w:color="auto"/>
      </w:divBdr>
    </w:div>
    <w:div w:id="757485476">
      <w:bodyDiv w:val="1"/>
      <w:marLeft w:val="0"/>
      <w:marRight w:val="0"/>
      <w:marTop w:val="0"/>
      <w:marBottom w:val="0"/>
      <w:divBdr>
        <w:top w:val="none" w:sz="0" w:space="0" w:color="auto"/>
        <w:left w:val="none" w:sz="0" w:space="0" w:color="auto"/>
        <w:bottom w:val="none" w:sz="0" w:space="0" w:color="auto"/>
        <w:right w:val="none" w:sz="0" w:space="0" w:color="auto"/>
      </w:divBdr>
      <w:divsChild>
        <w:div w:id="1766144609">
          <w:marLeft w:val="1267"/>
          <w:marRight w:val="0"/>
          <w:marTop w:val="0"/>
          <w:marBottom w:val="0"/>
          <w:divBdr>
            <w:top w:val="none" w:sz="0" w:space="0" w:color="auto"/>
            <w:left w:val="none" w:sz="0" w:space="0" w:color="auto"/>
            <w:bottom w:val="none" w:sz="0" w:space="0" w:color="auto"/>
            <w:right w:val="none" w:sz="0" w:space="0" w:color="auto"/>
          </w:divBdr>
        </w:div>
      </w:divsChild>
    </w:div>
    <w:div w:id="760221106">
      <w:bodyDiv w:val="1"/>
      <w:marLeft w:val="0"/>
      <w:marRight w:val="0"/>
      <w:marTop w:val="0"/>
      <w:marBottom w:val="0"/>
      <w:divBdr>
        <w:top w:val="none" w:sz="0" w:space="0" w:color="auto"/>
        <w:left w:val="none" w:sz="0" w:space="0" w:color="auto"/>
        <w:bottom w:val="none" w:sz="0" w:space="0" w:color="auto"/>
        <w:right w:val="none" w:sz="0" w:space="0" w:color="auto"/>
      </w:divBdr>
    </w:div>
    <w:div w:id="789324072">
      <w:bodyDiv w:val="1"/>
      <w:marLeft w:val="0"/>
      <w:marRight w:val="0"/>
      <w:marTop w:val="0"/>
      <w:marBottom w:val="0"/>
      <w:divBdr>
        <w:top w:val="none" w:sz="0" w:space="0" w:color="auto"/>
        <w:left w:val="none" w:sz="0" w:space="0" w:color="auto"/>
        <w:bottom w:val="none" w:sz="0" w:space="0" w:color="auto"/>
        <w:right w:val="none" w:sz="0" w:space="0" w:color="auto"/>
      </w:divBdr>
    </w:div>
    <w:div w:id="828138696">
      <w:bodyDiv w:val="1"/>
      <w:marLeft w:val="0"/>
      <w:marRight w:val="0"/>
      <w:marTop w:val="0"/>
      <w:marBottom w:val="0"/>
      <w:divBdr>
        <w:top w:val="none" w:sz="0" w:space="0" w:color="auto"/>
        <w:left w:val="none" w:sz="0" w:space="0" w:color="auto"/>
        <w:bottom w:val="none" w:sz="0" w:space="0" w:color="auto"/>
        <w:right w:val="none" w:sz="0" w:space="0" w:color="auto"/>
      </w:divBdr>
    </w:div>
    <w:div w:id="852957987">
      <w:bodyDiv w:val="1"/>
      <w:marLeft w:val="0"/>
      <w:marRight w:val="0"/>
      <w:marTop w:val="0"/>
      <w:marBottom w:val="0"/>
      <w:divBdr>
        <w:top w:val="none" w:sz="0" w:space="0" w:color="auto"/>
        <w:left w:val="none" w:sz="0" w:space="0" w:color="auto"/>
        <w:bottom w:val="none" w:sz="0" w:space="0" w:color="auto"/>
        <w:right w:val="none" w:sz="0" w:space="0" w:color="auto"/>
      </w:divBdr>
    </w:div>
    <w:div w:id="860434283">
      <w:bodyDiv w:val="1"/>
      <w:marLeft w:val="0"/>
      <w:marRight w:val="0"/>
      <w:marTop w:val="0"/>
      <w:marBottom w:val="0"/>
      <w:divBdr>
        <w:top w:val="none" w:sz="0" w:space="0" w:color="auto"/>
        <w:left w:val="none" w:sz="0" w:space="0" w:color="auto"/>
        <w:bottom w:val="none" w:sz="0" w:space="0" w:color="auto"/>
        <w:right w:val="none" w:sz="0" w:space="0" w:color="auto"/>
      </w:divBdr>
    </w:div>
    <w:div w:id="892619389">
      <w:bodyDiv w:val="1"/>
      <w:marLeft w:val="0"/>
      <w:marRight w:val="0"/>
      <w:marTop w:val="0"/>
      <w:marBottom w:val="0"/>
      <w:divBdr>
        <w:top w:val="none" w:sz="0" w:space="0" w:color="auto"/>
        <w:left w:val="none" w:sz="0" w:space="0" w:color="auto"/>
        <w:bottom w:val="none" w:sz="0" w:space="0" w:color="auto"/>
        <w:right w:val="none" w:sz="0" w:space="0" w:color="auto"/>
      </w:divBdr>
    </w:div>
    <w:div w:id="940992989">
      <w:bodyDiv w:val="1"/>
      <w:marLeft w:val="0"/>
      <w:marRight w:val="0"/>
      <w:marTop w:val="0"/>
      <w:marBottom w:val="0"/>
      <w:divBdr>
        <w:top w:val="none" w:sz="0" w:space="0" w:color="auto"/>
        <w:left w:val="none" w:sz="0" w:space="0" w:color="auto"/>
        <w:bottom w:val="none" w:sz="0" w:space="0" w:color="auto"/>
        <w:right w:val="none" w:sz="0" w:space="0" w:color="auto"/>
      </w:divBdr>
    </w:div>
    <w:div w:id="954601802">
      <w:bodyDiv w:val="1"/>
      <w:marLeft w:val="0"/>
      <w:marRight w:val="0"/>
      <w:marTop w:val="0"/>
      <w:marBottom w:val="0"/>
      <w:divBdr>
        <w:top w:val="none" w:sz="0" w:space="0" w:color="auto"/>
        <w:left w:val="none" w:sz="0" w:space="0" w:color="auto"/>
        <w:bottom w:val="none" w:sz="0" w:space="0" w:color="auto"/>
        <w:right w:val="none" w:sz="0" w:space="0" w:color="auto"/>
      </w:divBdr>
    </w:div>
    <w:div w:id="961694307">
      <w:bodyDiv w:val="1"/>
      <w:marLeft w:val="0"/>
      <w:marRight w:val="0"/>
      <w:marTop w:val="0"/>
      <w:marBottom w:val="0"/>
      <w:divBdr>
        <w:top w:val="none" w:sz="0" w:space="0" w:color="auto"/>
        <w:left w:val="none" w:sz="0" w:space="0" w:color="auto"/>
        <w:bottom w:val="none" w:sz="0" w:space="0" w:color="auto"/>
        <w:right w:val="none" w:sz="0" w:space="0" w:color="auto"/>
      </w:divBdr>
    </w:div>
    <w:div w:id="980770068">
      <w:bodyDiv w:val="1"/>
      <w:marLeft w:val="0"/>
      <w:marRight w:val="0"/>
      <w:marTop w:val="0"/>
      <w:marBottom w:val="0"/>
      <w:divBdr>
        <w:top w:val="none" w:sz="0" w:space="0" w:color="auto"/>
        <w:left w:val="none" w:sz="0" w:space="0" w:color="auto"/>
        <w:bottom w:val="none" w:sz="0" w:space="0" w:color="auto"/>
        <w:right w:val="none" w:sz="0" w:space="0" w:color="auto"/>
      </w:divBdr>
    </w:div>
    <w:div w:id="993097085">
      <w:bodyDiv w:val="1"/>
      <w:marLeft w:val="0"/>
      <w:marRight w:val="0"/>
      <w:marTop w:val="0"/>
      <w:marBottom w:val="0"/>
      <w:divBdr>
        <w:top w:val="none" w:sz="0" w:space="0" w:color="auto"/>
        <w:left w:val="none" w:sz="0" w:space="0" w:color="auto"/>
        <w:bottom w:val="none" w:sz="0" w:space="0" w:color="auto"/>
        <w:right w:val="none" w:sz="0" w:space="0" w:color="auto"/>
      </w:divBdr>
    </w:div>
    <w:div w:id="1008562496">
      <w:bodyDiv w:val="1"/>
      <w:marLeft w:val="0"/>
      <w:marRight w:val="0"/>
      <w:marTop w:val="0"/>
      <w:marBottom w:val="0"/>
      <w:divBdr>
        <w:top w:val="none" w:sz="0" w:space="0" w:color="auto"/>
        <w:left w:val="none" w:sz="0" w:space="0" w:color="auto"/>
        <w:bottom w:val="none" w:sz="0" w:space="0" w:color="auto"/>
        <w:right w:val="none" w:sz="0" w:space="0" w:color="auto"/>
      </w:divBdr>
    </w:div>
    <w:div w:id="1039008893">
      <w:bodyDiv w:val="1"/>
      <w:marLeft w:val="0"/>
      <w:marRight w:val="0"/>
      <w:marTop w:val="0"/>
      <w:marBottom w:val="0"/>
      <w:divBdr>
        <w:top w:val="none" w:sz="0" w:space="0" w:color="auto"/>
        <w:left w:val="none" w:sz="0" w:space="0" w:color="auto"/>
        <w:bottom w:val="none" w:sz="0" w:space="0" w:color="auto"/>
        <w:right w:val="none" w:sz="0" w:space="0" w:color="auto"/>
      </w:divBdr>
    </w:div>
    <w:div w:id="1042175723">
      <w:bodyDiv w:val="1"/>
      <w:marLeft w:val="0"/>
      <w:marRight w:val="0"/>
      <w:marTop w:val="0"/>
      <w:marBottom w:val="0"/>
      <w:divBdr>
        <w:top w:val="none" w:sz="0" w:space="0" w:color="auto"/>
        <w:left w:val="none" w:sz="0" w:space="0" w:color="auto"/>
        <w:bottom w:val="none" w:sz="0" w:space="0" w:color="auto"/>
        <w:right w:val="none" w:sz="0" w:space="0" w:color="auto"/>
      </w:divBdr>
    </w:div>
    <w:div w:id="1076167871">
      <w:bodyDiv w:val="1"/>
      <w:marLeft w:val="0"/>
      <w:marRight w:val="0"/>
      <w:marTop w:val="0"/>
      <w:marBottom w:val="0"/>
      <w:divBdr>
        <w:top w:val="none" w:sz="0" w:space="0" w:color="auto"/>
        <w:left w:val="none" w:sz="0" w:space="0" w:color="auto"/>
        <w:bottom w:val="none" w:sz="0" w:space="0" w:color="auto"/>
        <w:right w:val="none" w:sz="0" w:space="0" w:color="auto"/>
      </w:divBdr>
    </w:div>
    <w:div w:id="1119029773">
      <w:bodyDiv w:val="1"/>
      <w:marLeft w:val="0"/>
      <w:marRight w:val="0"/>
      <w:marTop w:val="0"/>
      <w:marBottom w:val="0"/>
      <w:divBdr>
        <w:top w:val="none" w:sz="0" w:space="0" w:color="auto"/>
        <w:left w:val="none" w:sz="0" w:space="0" w:color="auto"/>
        <w:bottom w:val="none" w:sz="0" w:space="0" w:color="auto"/>
        <w:right w:val="none" w:sz="0" w:space="0" w:color="auto"/>
      </w:divBdr>
    </w:div>
    <w:div w:id="1133330665">
      <w:bodyDiv w:val="1"/>
      <w:marLeft w:val="0"/>
      <w:marRight w:val="0"/>
      <w:marTop w:val="0"/>
      <w:marBottom w:val="0"/>
      <w:divBdr>
        <w:top w:val="none" w:sz="0" w:space="0" w:color="auto"/>
        <w:left w:val="none" w:sz="0" w:space="0" w:color="auto"/>
        <w:bottom w:val="none" w:sz="0" w:space="0" w:color="auto"/>
        <w:right w:val="none" w:sz="0" w:space="0" w:color="auto"/>
      </w:divBdr>
      <w:divsChild>
        <w:div w:id="721363158">
          <w:marLeft w:val="1987"/>
          <w:marRight w:val="0"/>
          <w:marTop w:val="0"/>
          <w:marBottom w:val="0"/>
          <w:divBdr>
            <w:top w:val="none" w:sz="0" w:space="0" w:color="auto"/>
            <w:left w:val="none" w:sz="0" w:space="0" w:color="auto"/>
            <w:bottom w:val="none" w:sz="0" w:space="0" w:color="auto"/>
            <w:right w:val="none" w:sz="0" w:space="0" w:color="auto"/>
          </w:divBdr>
        </w:div>
        <w:div w:id="1397319462">
          <w:marLeft w:val="1987"/>
          <w:marRight w:val="0"/>
          <w:marTop w:val="0"/>
          <w:marBottom w:val="0"/>
          <w:divBdr>
            <w:top w:val="none" w:sz="0" w:space="0" w:color="auto"/>
            <w:left w:val="none" w:sz="0" w:space="0" w:color="auto"/>
            <w:bottom w:val="none" w:sz="0" w:space="0" w:color="auto"/>
            <w:right w:val="none" w:sz="0" w:space="0" w:color="auto"/>
          </w:divBdr>
        </w:div>
      </w:divsChild>
    </w:div>
    <w:div w:id="1215309432">
      <w:bodyDiv w:val="1"/>
      <w:marLeft w:val="0"/>
      <w:marRight w:val="0"/>
      <w:marTop w:val="0"/>
      <w:marBottom w:val="0"/>
      <w:divBdr>
        <w:top w:val="none" w:sz="0" w:space="0" w:color="auto"/>
        <w:left w:val="none" w:sz="0" w:space="0" w:color="auto"/>
        <w:bottom w:val="none" w:sz="0" w:space="0" w:color="auto"/>
        <w:right w:val="none" w:sz="0" w:space="0" w:color="auto"/>
      </w:divBdr>
    </w:div>
    <w:div w:id="1319529442">
      <w:bodyDiv w:val="1"/>
      <w:marLeft w:val="0"/>
      <w:marRight w:val="0"/>
      <w:marTop w:val="0"/>
      <w:marBottom w:val="0"/>
      <w:divBdr>
        <w:top w:val="none" w:sz="0" w:space="0" w:color="auto"/>
        <w:left w:val="none" w:sz="0" w:space="0" w:color="auto"/>
        <w:bottom w:val="none" w:sz="0" w:space="0" w:color="auto"/>
        <w:right w:val="none" w:sz="0" w:space="0" w:color="auto"/>
      </w:divBdr>
    </w:div>
    <w:div w:id="1359697708">
      <w:bodyDiv w:val="1"/>
      <w:marLeft w:val="0"/>
      <w:marRight w:val="0"/>
      <w:marTop w:val="0"/>
      <w:marBottom w:val="0"/>
      <w:divBdr>
        <w:top w:val="none" w:sz="0" w:space="0" w:color="auto"/>
        <w:left w:val="none" w:sz="0" w:space="0" w:color="auto"/>
        <w:bottom w:val="none" w:sz="0" w:space="0" w:color="auto"/>
        <w:right w:val="none" w:sz="0" w:space="0" w:color="auto"/>
      </w:divBdr>
      <w:divsChild>
        <w:div w:id="228226192">
          <w:marLeft w:val="1267"/>
          <w:marRight w:val="0"/>
          <w:marTop w:val="0"/>
          <w:marBottom w:val="0"/>
          <w:divBdr>
            <w:top w:val="none" w:sz="0" w:space="0" w:color="auto"/>
            <w:left w:val="none" w:sz="0" w:space="0" w:color="auto"/>
            <w:bottom w:val="none" w:sz="0" w:space="0" w:color="auto"/>
            <w:right w:val="none" w:sz="0" w:space="0" w:color="auto"/>
          </w:divBdr>
        </w:div>
        <w:div w:id="958874620">
          <w:marLeft w:val="1987"/>
          <w:marRight w:val="0"/>
          <w:marTop w:val="0"/>
          <w:marBottom w:val="0"/>
          <w:divBdr>
            <w:top w:val="none" w:sz="0" w:space="0" w:color="auto"/>
            <w:left w:val="none" w:sz="0" w:space="0" w:color="auto"/>
            <w:bottom w:val="none" w:sz="0" w:space="0" w:color="auto"/>
            <w:right w:val="none" w:sz="0" w:space="0" w:color="auto"/>
          </w:divBdr>
        </w:div>
        <w:div w:id="1563980543">
          <w:marLeft w:val="1987"/>
          <w:marRight w:val="0"/>
          <w:marTop w:val="0"/>
          <w:marBottom w:val="0"/>
          <w:divBdr>
            <w:top w:val="none" w:sz="0" w:space="0" w:color="auto"/>
            <w:left w:val="none" w:sz="0" w:space="0" w:color="auto"/>
            <w:bottom w:val="none" w:sz="0" w:space="0" w:color="auto"/>
            <w:right w:val="none" w:sz="0" w:space="0" w:color="auto"/>
          </w:divBdr>
        </w:div>
        <w:div w:id="1638099192">
          <w:marLeft w:val="1987"/>
          <w:marRight w:val="0"/>
          <w:marTop w:val="0"/>
          <w:marBottom w:val="0"/>
          <w:divBdr>
            <w:top w:val="none" w:sz="0" w:space="0" w:color="auto"/>
            <w:left w:val="none" w:sz="0" w:space="0" w:color="auto"/>
            <w:bottom w:val="none" w:sz="0" w:space="0" w:color="auto"/>
            <w:right w:val="none" w:sz="0" w:space="0" w:color="auto"/>
          </w:divBdr>
        </w:div>
      </w:divsChild>
    </w:div>
    <w:div w:id="1427968844">
      <w:bodyDiv w:val="1"/>
      <w:marLeft w:val="0"/>
      <w:marRight w:val="0"/>
      <w:marTop w:val="0"/>
      <w:marBottom w:val="0"/>
      <w:divBdr>
        <w:top w:val="none" w:sz="0" w:space="0" w:color="auto"/>
        <w:left w:val="none" w:sz="0" w:space="0" w:color="auto"/>
        <w:bottom w:val="none" w:sz="0" w:space="0" w:color="auto"/>
        <w:right w:val="none" w:sz="0" w:space="0" w:color="auto"/>
      </w:divBdr>
    </w:div>
    <w:div w:id="1436943979">
      <w:bodyDiv w:val="1"/>
      <w:marLeft w:val="0"/>
      <w:marRight w:val="0"/>
      <w:marTop w:val="0"/>
      <w:marBottom w:val="0"/>
      <w:divBdr>
        <w:top w:val="none" w:sz="0" w:space="0" w:color="auto"/>
        <w:left w:val="none" w:sz="0" w:space="0" w:color="auto"/>
        <w:bottom w:val="none" w:sz="0" w:space="0" w:color="auto"/>
        <w:right w:val="none" w:sz="0" w:space="0" w:color="auto"/>
      </w:divBdr>
    </w:div>
    <w:div w:id="1439837284">
      <w:bodyDiv w:val="1"/>
      <w:marLeft w:val="0"/>
      <w:marRight w:val="0"/>
      <w:marTop w:val="0"/>
      <w:marBottom w:val="0"/>
      <w:divBdr>
        <w:top w:val="none" w:sz="0" w:space="0" w:color="auto"/>
        <w:left w:val="none" w:sz="0" w:space="0" w:color="auto"/>
        <w:bottom w:val="none" w:sz="0" w:space="0" w:color="auto"/>
        <w:right w:val="none" w:sz="0" w:space="0" w:color="auto"/>
      </w:divBdr>
    </w:div>
    <w:div w:id="1440879616">
      <w:bodyDiv w:val="1"/>
      <w:marLeft w:val="0"/>
      <w:marRight w:val="0"/>
      <w:marTop w:val="0"/>
      <w:marBottom w:val="0"/>
      <w:divBdr>
        <w:top w:val="none" w:sz="0" w:space="0" w:color="auto"/>
        <w:left w:val="none" w:sz="0" w:space="0" w:color="auto"/>
        <w:bottom w:val="none" w:sz="0" w:space="0" w:color="auto"/>
        <w:right w:val="none" w:sz="0" w:space="0" w:color="auto"/>
      </w:divBdr>
    </w:div>
    <w:div w:id="1541237536">
      <w:bodyDiv w:val="1"/>
      <w:marLeft w:val="0"/>
      <w:marRight w:val="0"/>
      <w:marTop w:val="0"/>
      <w:marBottom w:val="0"/>
      <w:divBdr>
        <w:top w:val="none" w:sz="0" w:space="0" w:color="auto"/>
        <w:left w:val="none" w:sz="0" w:space="0" w:color="auto"/>
        <w:bottom w:val="none" w:sz="0" w:space="0" w:color="auto"/>
        <w:right w:val="none" w:sz="0" w:space="0" w:color="auto"/>
      </w:divBdr>
      <w:divsChild>
        <w:div w:id="1852985866">
          <w:marLeft w:val="1267"/>
          <w:marRight w:val="0"/>
          <w:marTop w:val="0"/>
          <w:marBottom w:val="0"/>
          <w:divBdr>
            <w:top w:val="none" w:sz="0" w:space="0" w:color="auto"/>
            <w:left w:val="none" w:sz="0" w:space="0" w:color="auto"/>
            <w:bottom w:val="none" w:sz="0" w:space="0" w:color="auto"/>
            <w:right w:val="none" w:sz="0" w:space="0" w:color="auto"/>
          </w:divBdr>
        </w:div>
      </w:divsChild>
    </w:div>
    <w:div w:id="1559439649">
      <w:bodyDiv w:val="1"/>
      <w:marLeft w:val="0"/>
      <w:marRight w:val="0"/>
      <w:marTop w:val="0"/>
      <w:marBottom w:val="0"/>
      <w:divBdr>
        <w:top w:val="none" w:sz="0" w:space="0" w:color="auto"/>
        <w:left w:val="none" w:sz="0" w:space="0" w:color="auto"/>
        <w:bottom w:val="none" w:sz="0" w:space="0" w:color="auto"/>
        <w:right w:val="none" w:sz="0" w:space="0" w:color="auto"/>
      </w:divBdr>
    </w:div>
    <w:div w:id="1606814055">
      <w:bodyDiv w:val="1"/>
      <w:marLeft w:val="0"/>
      <w:marRight w:val="0"/>
      <w:marTop w:val="0"/>
      <w:marBottom w:val="0"/>
      <w:divBdr>
        <w:top w:val="none" w:sz="0" w:space="0" w:color="auto"/>
        <w:left w:val="none" w:sz="0" w:space="0" w:color="auto"/>
        <w:bottom w:val="none" w:sz="0" w:space="0" w:color="auto"/>
        <w:right w:val="none" w:sz="0" w:space="0" w:color="auto"/>
      </w:divBdr>
    </w:div>
    <w:div w:id="1608343709">
      <w:bodyDiv w:val="1"/>
      <w:marLeft w:val="0"/>
      <w:marRight w:val="0"/>
      <w:marTop w:val="0"/>
      <w:marBottom w:val="0"/>
      <w:divBdr>
        <w:top w:val="none" w:sz="0" w:space="0" w:color="auto"/>
        <w:left w:val="none" w:sz="0" w:space="0" w:color="auto"/>
        <w:bottom w:val="none" w:sz="0" w:space="0" w:color="auto"/>
        <w:right w:val="none" w:sz="0" w:space="0" w:color="auto"/>
      </w:divBdr>
    </w:div>
    <w:div w:id="1633097593">
      <w:bodyDiv w:val="1"/>
      <w:marLeft w:val="0"/>
      <w:marRight w:val="0"/>
      <w:marTop w:val="0"/>
      <w:marBottom w:val="0"/>
      <w:divBdr>
        <w:top w:val="none" w:sz="0" w:space="0" w:color="auto"/>
        <w:left w:val="none" w:sz="0" w:space="0" w:color="auto"/>
        <w:bottom w:val="none" w:sz="0" w:space="0" w:color="auto"/>
        <w:right w:val="none" w:sz="0" w:space="0" w:color="auto"/>
      </w:divBdr>
    </w:div>
    <w:div w:id="1672874626">
      <w:bodyDiv w:val="1"/>
      <w:marLeft w:val="0"/>
      <w:marRight w:val="0"/>
      <w:marTop w:val="0"/>
      <w:marBottom w:val="0"/>
      <w:divBdr>
        <w:top w:val="none" w:sz="0" w:space="0" w:color="auto"/>
        <w:left w:val="none" w:sz="0" w:space="0" w:color="auto"/>
        <w:bottom w:val="none" w:sz="0" w:space="0" w:color="auto"/>
        <w:right w:val="none" w:sz="0" w:space="0" w:color="auto"/>
      </w:divBdr>
    </w:div>
    <w:div w:id="1692101203">
      <w:bodyDiv w:val="1"/>
      <w:marLeft w:val="0"/>
      <w:marRight w:val="0"/>
      <w:marTop w:val="0"/>
      <w:marBottom w:val="0"/>
      <w:divBdr>
        <w:top w:val="none" w:sz="0" w:space="0" w:color="auto"/>
        <w:left w:val="none" w:sz="0" w:space="0" w:color="auto"/>
        <w:bottom w:val="none" w:sz="0" w:space="0" w:color="auto"/>
        <w:right w:val="none" w:sz="0" w:space="0" w:color="auto"/>
      </w:divBdr>
    </w:div>
    <w:div w:id="1718432573">
      <w:bodyDiv w:val="1"/>
      <w:marLeft w:val="0"/>
      <w:marRight w:val="0"/>
      <w:marTop w:val="0"/>
      <w:marBottom w:val="0"/>
      <w:divBdr>
        <w:top w:val="none" w:sz="0" w:space="0" w:color="auto"/>
        <w:left w:val="none" w:sz="0" w:space="0" w:color="auto"/>
        <w:bottom w:val="none" w:sz="0" w:space="0" w:color="auto"/>
        <w:right w:val="none" w:sz="0" w:space="0" w:color="auto"/>
      </w:divBdr>
    </w:div>
    <w:div w:id="1814518085">
      <w:bodyDiv w:val="1"/>
      <w:marLeft w:val="0"/>
      <w:marRight w:val="0"/>
      <w:marTop w:val="0"/>
      <w:marBottom w:val="0"/>
      <w:divBdr>
        <w:top w:val="none" w:sz="0" w:space="0" w:color="auto"/>
        <w:left w:val="none" w:sz="0" w:space="0" w:color="auto"/>
        <w:bottom w:val="none" w:sz="0" w:space="0" w:color="auto"/>
        <w:right w:val="none" w:sz="0" w:space="0" w:color="auto"/>
      </w:divBdr>
    </w:div>
    <w:div w:id="1823035583">
      <w:bodyDiv w:val="1"/>
      <w:marLeft w:val="0"/>
      <w:marRight w:val="0"/>
      <w:marTop w:val="0"/>
      <w:marBottom w:val="0"/>
      <w:divBdr>
        <w:top w:val="none" w:sz="0" w:space="0" w:color="auto"/>
        <w:left w:val="none" w:sz="0" w:space="0" w:color="auto"/>
        <w:bottom w:val="none" w:sz="0" w:space="0" w:color="auto"/>
        <w:right w:val="none" w:sz="0" w:space="0" w:color="auto"/>
      </w:divBdr>
    </w:div>
    <w:div w:id="1834376729">
      <w:bodyDiv w:val="1"/>
      <w:marLeft w:val="0"/>
      <w:marRight w:val="0"/>
      <w:marTop w:val="0"/>
      <w:marBottom w:val="0"/>
      <w:divBdr>
        <w:top w:val="none" w:sz="0" w:space="0" w:color="auto"/>
        <w:left w:val="none" w:sz="0" w:space="0" w:color="auto"/>
        <w:bottom w:val="none" w:sz="0" w:space="0" w:color="auto"/>
        <w:right w:val="none" w:sz="0" w:space="0" w:color="auto"/>
      </w:divBdr>
    </w:div>
    <w:div w:id="1839154478">
      <w:bodyDiv w:val="1"/>
      <w:marLeft w:val="0"/>
      <w:marRight w:val="0"/>
      <w:marTop w:val="0"/>
      <w:marBottom w:val="0"/>
      <w:divBdr>
        <w:top w:val="none" w:sz="0" w:space="0" w:color="auto"/>
        <w:left w:val="none" w:sz="0" w:space="0" w:color="auto"/>
        <w:bottom w:val="none" w:sz="0" w:space="0" w:color="auto"/>
        <w:right w:val="none" w:sz="0" w:space="0" w:color="auto"/>
      </w:divBdr>
    </w:div>
    <w:div w:id="1915771644">
      <w:bodyDiv w:val="1"/>
      <w:marLeft w:val="0"/>
      <w:marRight w:val="0"/>
      <w:marTop w:val="0"/>
      <w:marBottom w:val="0"/>
      <w:divBdr>
        <w:top w:val="none" w:sz="0" w:space="0" w:color="auto"/>
        <w:left w:val="none" w:sz="0" w:space="0" w:color="auto"/>
        <w:bottom w:val="none" w:sz="0" w:space="0" w:color="auto"/>
        <w:right w:val="none" w:sz="0" w:space="0" w:color="auto"/>
      </w:divBdr>
    </w:div>
    <w:div w:id="1948810382">
      <w:bodyDiv w:val="1"/>
      <w:marLeft w:val="0"/>
      <w:marRight w:val="0"/>
      <w:marTop w:val="0"/>
      <w:marBottom w:val="0"/>
      <w:divBdr>
        <w:top w:val="none" w:sz="0" w:space="0" w:color="auto"/>
        <w:left w:val="none" w:sz="0" w:space="0" w:color="auto"/>
        <w:bottom w:val="none" w:sz="0" w:space="0" w:color="auto"/>
        <w:right w:val="none" w:sz="0" w:space="0" w:color="auto"/>
      </w:divBdr>
    </w:div>
    <w:div w:id="1968318482">
      <w:bodyDiv w:val="1"/>
      <w:marLeft w:val="0"/>
      <w:marRight w:val="0"/>
      <w:marTop w:val="0"/>
      <w:marBottom w:val="0"/>
      <w:divBdr>
        <w:top w:val="none" w:sz="0" w:space="0" w:color="auto"/>
        <w:left w:val="none" w:sz="0" w:space="0" w:color="auto"/>
        <w:bottom w:val="none" w:sz="0" w:space="0" w:color="auto"/>
        <w:right w:val="none" w:sz="0" w:space="0" w:color="auto"/>
      </w:divBdr>
    </w:div>
    <w:div w:id="2003049088">
      <w:bodyDiv w:val="1"/>
      <w:marLeft w:val="0"/>
      <w:marRight w:val="0"/>
      <w:marTop w:val="0"/>
      <w:marBottom w:val="0"/>
      <w:divBdr>
        <w:top w:val="none" w:sz="0" w:space="0" w:color="auto"/>
        <w:left w:val="none" w:sz="0" w:space="0" w:color="auto"/>
        <w:bottom w:val="none" w:sz="0" w:space="0" w:color="auto"/>
        <w:right w:val="none" w:sz="0" w:space="0" w:color="auto"/>
      </w:divBdr>
    </w:div>
    <w:div w:id="2028143130">
      <w:bodyDiv w:val="1"/>
      <w:marLeft w:val="0"/>
      <w:marRight w:val="0"/>
      <w:marTop w:val="0"/>
      <w:marBottom w:val="0"/>
      <w:divBdr>
        <w:top w:val="none" w:sz="0" w:space="0" w:color="auto"/>
        <w:left w:val="none" w:sz="0" w:space="0" w:color="auto"/>
        <w:bottom w:val="none" w:sz="0" w:space="0" w:color="auto"/>
        <w:right w:val="none" w:sz="0" w:space="0" w:color="auto"/>
      </w:divBdr>
    </w:div>
    <w:div w:id="2092658831">
      <w:bodyDiv w:val="1"/>
      <w:marLeft w:val="0"/>
      <w:marRight w:val="0"/>
      <w:marTop w:val="0"/>
      <w:marBottom w:val="0"/>
      <w:divBdr>
        <w:top w:val="none" w:sz="0" w:space="0" w:color="auto"/>
        <w:left w:val="none" w:sz="0" w:space="0" w:color="auto"/>
        <w:bottom w:val="none" w:sz="0" w:space="0" w:color="auto"/>
        <w:right w:val="none" w:sz="0" w:space="0" w:color="auto"/>
      </w:divBdr>
    </w:div>
    <w:div w:id="2103522397">
      <w:bodyDiv w:val="1"/>
      <w:marLeft w:val="0"/>
      <w:marRight w:val="0"/>
      <w:marTop w:val="0"/>
      <w:marBottom w:val="0"/>
      <w:divBdr>
        <w:top w:val="none" w:sz="0" w:space="0" w:color="auto"/>
        <w:left w:val="none" w:sz="0" w:space="0" w:color="auto"/>
        <w:bottom w:val="none" w:sz="0" w:space="0" w:color="auto"/>
        <w:right w:val="none" w:sz="0" w:space="0" w:color="auto"/>
      </w:divBdr>
    </w:div>
    <w:div w:id="2121951465">
      <w:bodyDiv w:val="1"/>
      <w:marLeft w:val="0"/>
      <w:marRight w:val="0"/>
      <w:marTop w:val="0"/>
      <w:marBottom w:val="0"/>
      <w:divBdr>
        <w:top w:val="none" w:sz="0" w:space="0" w:color="auto"/>
        <w:left w:val="none" w:sz="0" w:space="0" w:color="auto"/>
        <w:bottom w:val="none" w:sz="0" w:space="0" w:color="auto"/>
        <w:right w:val="none" w:sz="0" w:space="0" w:color="auto"/>
      </w:divBdr>
    </w:div>
    <w:div w:id="214207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png"/><Relationship Id="rId5" Type="http://schemas.openxmlformats.org/officeDocument/2006/relationships/webSettings" Target="webSettings.xml"/><Relationship Id="rId10"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9E27C-141E-466F-A6CD-7F0B6B607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1390</TotalTime>
  <Pages>5</Pages>
  <Words>1301</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86</cp:revision>
  <dcterms:created xsi:type="dcterms:W3CDTF">2022-04-24T12:27:00Z</dcterms:created>
  <dcterms:modified xsi:type="dcterms:W3CDTF">2022-08-12T11:40:00Z</dcterms:modified>
</cp:coreProperties>
</file>